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78137">
      <w:pPr>
        <w:rPr>
          <w:rFonts w:hint="eastAsia" w:ascii="黑体" w:hAnsi="黑体" w:eastAsia="黑体" w:cs="黑体"/>
          <w:sz w:val="32"/>
          <w:szCs w:val="32"/>
        </w:rPr>
      </w:pPr>
      <w:r>
        <w:rPr>
          <w:rFonts w:hint="eastAsia" w:ascii="黑体" w:hAnsi="黑体" w:eastAsia="黑体" w:cs="黑体"/>
          <w:sz w:val="32"/>
          <w:szCs w:val="32"/>
        </w:rPr>
        <w:t>附件1</w:t>
      </w:r>
    </w:p>
    <w:p w14:paraId="39C1A16D">
      <w:pPr>
        <w:ind w:firstLine="3520" w:firstLineChars="8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新增产科类医疗服务价格项目表</w:t>
      </w:r>
    </w:p>
    <w:p w14:paraId="3F3EB770">
      <w:pPr>
        <w:rPr>
          <w:rFonts w:hint="eastAsia"/>
        </w:rPr>
      </w:pPr>
    </w:p>
    <w:tbl>
      <w:tblPr>
        <w:tblStyle w:val="4"/>
        <w:tblW w:w="14872" w:type="dxa"/>
        <w:tblInd w:w="-2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6"/>
        <w:gridCol w:w="1260"/>
        <w:gridCol w:w="1696"/>
        <w:gridCol w:w="3218"/>
        <w:gridCol w:w="832"/>
        <w:gridCol w:w="859"/>
        <w:gridCol w:w="1050"/>
        <w:gridCol w:w="873"/>
        <w:gridCol w:w="1063"/>
        <w:gridCol w:w="1528"/>
        <w:gridCol w:w="1077"/>
      </w:tblGrid>
      <w:tr w14:paraId="34628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blHeader/>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987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项目编码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ED8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项目名称</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155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服务产出</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D12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价格构成</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A38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计价</w:t>
            </w:r>
          </w:p>
          <w:p w14:paraId="4891B62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单位</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3C4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指导价格（省）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C95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指导价格（市）</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345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指导价格（县）</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265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指导价格（基层）</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E6A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说明</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76D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医保类别</w:t>
            </w:r>
          </w:p>
        </w:tc>
      </w:tr>
      <w:tr w14:paraId="1C4BC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BDF0F">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6"/>
                <w:szCs w:val="16"/>
                <w:u w:val="none"/>
              </w:rPr>
            </w:pPr>
          </w:p>
        </w:tc>
        <w:tc>
          <w:tcPr>
            <w:tcW w:w="108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723E9E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使用说明：</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2FC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435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2248B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FC01C">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6"/>
                <w:szCs w:val="16"/>
                <w:u w:val="none"/>
              </w:rPr>
            </w:pPr>
          </w:p>
        </w:tc>
        <w:tc>
          <w:tcPr>
            <w:tcW w:w="134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18AD01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对导乐分娩、亲情陪产等改善分娩体验的个性化服务实行自主定价；立项指南所定价格属于政府指导价为最高限价，下浮不限；同时，医疗机构、医务人员有关创新改良，可以采取“现有项目兼容”的方式简化处理，无需申报新增医疗服务价格项目，直接按照对应的整合项目执行即可。</w:t>
            </w:r>
          </w:p>
        </w:tc>
      </w:tr>
      <w:tr w14:paraId="44D54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75D3E">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6"/>
                <w:szCs w:val="16"/>
                <w:u w:val="none"/>
              </w:rPr>
            </w:pPr>
          </w:p>
        </w:tc>
        <w:tc>
          <w:tcPr>
            <w:tcW w:w="134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C964C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所称的“价格构成”，指项目价格应涵盖的各类资源消耗，用于确定计价单元的边界，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w:t>
            </w:r>
          </w:p>
        </w:tc>
      </w:tr>
      <w:tr w14:paraId="04C89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063C1">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6"/>
                <w:szCs w:val="16"/>
                <w:u w:val="none"/>
              </w:rPr>
            </w:pPr>
          </w:p>
        </w:tc>
        <w:tc>
          <w:tcPr>
            <w:tcW w:w="134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F47D6B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3.所称的“加收项”，指同一项目以不同方式提供或在不同场景应用时，确有必要制定差异化收费标准而细分的一类子项。</w:t>
            </w:r>
          </w:p>
        </w:tc>
      </w:tr>
      <w:tr w14:paraId="0DFA6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AFCA8">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6"/>
                <w:szCs w:val="16"/>
                <w:u w:val="none"/>
              </w:rPr>
            </w:pPr>
          </w:p>
        </w:tc>
        <w:tc>
          <w:tcPr>
            <w:tcW w:w="134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A11C5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4.所称的“扩展项”，指同一项目下以不同方式提供或在不同场景应用时，只扩展价格项目适用范围、不额外加价的一类子项，子项的价格按主项目执行。</w:t>
            </w:r>
          </w:p>
        </w:tc>
      </w:tr>
      <w:tr w14:paraId="5AE69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A7EC0">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6"/>
                <w:szCs w:val="16"/>
                <w:u w:val="none"/>
              </w:rPr>
            </w:pPr>
          </w:p>
        </w:tc>
        <w:tc>
          <w:tcPr>
            <w:tcW w:w="134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495FF0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所称的“基本物耗”指原则上限于不应或不必要与医疗服务项目分割的易耗品，包括但不限于各类消杀灭菌用品、储存用品、清洁用品、个人防护用品、垃圾处理用品、阴道扩张器、冲洗液、润滑剂、棉球、棉签、纱布（垫）、护（尿）垫、手术巾（单）、治疗巾（单）、中单、治疗护理盘（包）、手术包、注射器、滑石粉、防渗漏垫、标签、可复用的操作器具、冲洗工具。基本物耗成本计入项目价格，不另行收费。除基本物耗以外的其他耗材，按照实际采购价格零差率销售。</w:t>
            </w:r>
          </w:p>
        </w:tc>
      </w:tr>
      <w:tr w14:paraId="21FBA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A85CD">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6"/>
                <w:szCs w:val="16"/>
                <w:u w:val="none"/>
              </w:rPr>
            </w:pPr>
          </w:p>
        </w:tc>
        <w:tc>
          <w:tcPr>
            <w:tcW w:w="134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0BE0D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6.所称的计价单位“胎/次”，指每胎每次。</w:t>
            </w:r>
          </w:p>
        </w:tc>
      </w:tr>
      <w:tr w14:paraId="4AEEE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6B8DD">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6"/>
                <w:szCs w:val="16"/>
                <w:u w:val="none"/>
              </w:rPr>
            </w:pPr>
          </w:p>
        </w:tc>
        <w:tc>
          <w:tcPr>
            <w:tcW w:w="134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FC7A4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7.涉及“复杂”“特殊”等内涵未尽的表述，除立项指南中已明确的情形外，医院实践中按照“特殊”“复杂”情形计费的，应以国家级技术规范、临床指南或专家共识中的明确定性为前提。</w:t>
            </w:r>
          </w:p>
        </w:tc>
      </w:tr>
      <w:tr w14:paraId="12C86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FA199">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6"/>
                <w:szCs w:val="16"/>
                <w:u w:val="none"/>
              </w:rPr>
            </w:pPr>
          </w:p>
        </w:tc>
        <w:tc>
          <w:tcPr>
            <w:tcW w:w="134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D9CFA2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8.价格构成中所称的“穿刺”为主项操作涉及的必要穿刺技术。</w:t>
            </w:r>
          </w:p>
        </w:tc>
      </w:tr>
      <w:tr w14:paraId="5FECC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A15D0">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6"/>
                <w:szCs w:val="16"/>
                <w:u w:val="none"/>
              </w:rPr>
            </w:pPr>
          </w:p>
        </w:tc>
        <w:tc>
          <w:tcPr>
            <w:tcW w:w="134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2D2EB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9.涉及“包括……”“……等”的，属于开放型表述，所指对象不仅局限于表述中列明的事项，也包括未列明的同类事项。</w:t>
            </w:r>
          </w:p>
        </w:tc>
      </w:tr>
      <w:tr w14:paraId="1E288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2E693">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6"/>
                <w:szCs w:val="16"/>
                <w:u w:val="none"/>
              </w:rPr>
            </w:pPr>
          </w:p>
        </w:tc>
        <w:tc>
          <w:tcPr>
            <w:tcW w:w="134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CE927E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10.所称的“内镜下辅助操作”，指涉及内镜下的辅助操作，包括但不限于腹腔镜、宫腔镜、胎儿镜、羊膜镜等各类内镜，统一按“内镜下辅助操作”加收。</w:t>
            </w:r>
          </w:p>
        </w:tc>
      </w:tr>
      <w:tr w14:paraId="474B8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EC5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311202</w:t>
            </w:r>
          </w:p>
        </w:tc>
        <w:tc>
          <w:tcPr>
            <w:tcW w:w="108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88F3A5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产科孕产系统</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00F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74F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2DE50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1"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E08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013112020010000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1CD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产前常规检查</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C227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产前对孕妇进行的规范检查、遗传等咨询解答及有关健康指导。</w:t>
            </w: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0337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所定价格涵盖推算孕周、测量孕妇体重、宫高、腹围、血压及听胎心、孕期触诊，以及判断胎位状态、胎儿是否符合孕周等孕期检查、分娩前评估和健康指导步骤所需的人力资源和基本物质资源消耗。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43A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E7D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849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5A2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6BA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94C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指在门诊/急诊期间对孕妇进行的常规检查及健康指导，在住院期间对孕/产妇实施价格构成中所列的医疗服务事项，不再单独计费，例如国家卫生健康委制定发布技术规范中所列的“多普勒胎心计数”。</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38D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甲类（限生育保险）</w:t>
            </w:r>
          </w:p>
        </w:tc>
      </w:tr>
      <w:tr w14:paraId="0FCD8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6"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7B2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013112020020000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268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胎心监测</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8748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监测胎儿心率及宫缩压力波形实时变化，达到评估胎儿宫内情况的目的。</w:t>
            </w: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9CE8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所定价格涵盖定位、固定探头、监测、出具报告等所需的人力资源和基本物质资源消耗。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317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8B5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C7C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D88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E3F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C80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1.监测的时间要求对照国家卫生健康委《全国医疗服务项目技术规范（2023年版）》相关内容。                                   2.不得与催引产、产程管理、胎儿外倒转同时收费。</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BCB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甲类（限生育保险）</w:t>
            </w:r>
          </w:p>
        </w:tc>
      </w:tr>
      <w:tr w14:paraId="384AB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3"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63A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013112020030000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606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胎心监测（远程）</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0E39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远程监测胎儿心率及宫缩压力波形实时变化，达到产妇离院状态下评估胎儿宫内情况的目的。</w:t>
            </w: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9C80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所定价格涵盖定位、固定探头、监测、出具报告等所需的人力资源和基本物质资源消耗。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598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891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7FA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1E0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C79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9B7C">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6DF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丙类</w:t>
            </w:r>
          </w:p>
        </w:tc>
      </w:tr>
      <w:tr w14:paraId="5B44F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8B5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013112020040000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1F3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羊膜腔穿刺</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8CF3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经羊膜腔获取检测样本，用于产前诊断。</w:t>
            </w: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2F13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所定价格涵盖定位、消毒、穿刺、取样、观察等羊膜腔穿刺所有必要操作所需人力资源和基本物质资源消耗。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7CD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4D3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D27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FEC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390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65</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891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1.内镜下辅助操作加收400元。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2.包括羊膜腔穿刺注药。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6AD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甲类（限生育保险）</w:t>
            </w:r>
          </w:p>
        </w:tc>
      </w:tr>
      <w:tr w14:paraId="6378B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FA1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013112020040001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A16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羊膜腔穿刺-内镜下辅助操作（加收）</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CA692">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3BE5F">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C2C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B84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B99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70F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EF4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400</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911F">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005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丙类</w:t>
            </w:r>
          </w:p>
        </w:tc>
      </w:tr>
      <w:tr w14:paraId="28F6C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F58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013112020040100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86D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羊膜腔穿刺-羊膜腔穿刺注药（扩展）</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BD575">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2FFAF">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11F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83C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D10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4F6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DC6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65</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1EF7">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35D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丙类</w:t>
            </w:r>
          </w:p>
        </w:tc>
      </w:tr>
      <w:tr w14:paraId="4CA71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4"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FC2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013112020050000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02A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绒毛取材</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8C7F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穿刺获取胎盘绒毛样本。</w:t>
            </w: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24ED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所定价格涵盖定位、消毒、穿刺、取材等绒毛取材所有必要操作所需的人力资源和基本物质资源消耗。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AA1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7C0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625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FC7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243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533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194</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74E0">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E66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丙类</w:t>
            </w:r>
          </w:p>
        </w:tc>
      </w:tr>
      <w:tr w14:paraId="5AD55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AE2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013112020060000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103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胎儿内镜检查</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441E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经内镜观察宫内胎儿及胎盘情况。</w:t>
            </w: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7FAA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所定价格涵盖定位、内镜置入、观察、撤除等，必要时取样等操作所需的人力资源和基本物质资源消耗。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670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A24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A5C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FB6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324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0B8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259</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0B82">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2A5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丙类</w:t>
            </w:r>
          </w:p>
        </w:tc>
      </w:tr>
      <w:tr w14:paraId="70036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585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013112020070000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D09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催引产</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208F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通过各种方式促宫颈成熟，以促发临产。</w:t>
            </w: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E37A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所定价格涵盖促宫颈成熟等所有必要操作所需的人力资源和基本物质资源消耗。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5F9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FCA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828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E56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339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152</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CEC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1.指自然日，不足一个自然日按一个自然日计。                                              2.不得与宫颈内口探查术同时收费。</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F10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甲类（限生育保险）</w:t>
            </w:r>
          </w:p>
        </w:tc>
      </w:tr>
      <w:tr w14:paraId="7165C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3"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98D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013112020080000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F27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产程管理</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AB32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临产后，进入待产室至第二产程前或阴道试产，对产妇的产程进展进行管理。</w:t>
            </w: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ABAB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Style w:val="6"/>
                <w:sz w:val="16"/>
                <w:szCs w:val="16"/>
                <w:lang w:val="en-US" w:eastAsia="zh-CN" w:bidi="ar"/>
              </w:rPr>
              <w:t>所定价格涵盖观察产妇生命体征、宫缩及宫口扩张情况、监测胎心、判断产程进展、记录产程过程，给予相应的安抚、指导，根据需要采取干预措施，必要时行人工破膜等所需的人力资源和基本物质资源消耗。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E9E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D87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440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705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EDC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135</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333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1.第二产程是指从宫口开全至胎儿娩出。                                      2.不得与宫颈内口探查术同时收费。</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048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甲类（限生育保险）</w:t>
            </w:r>
          </w:p>
        </w:tc>
      </w:tr>
      <w:tr w14:paraId="24A4F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3"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D0E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013112020090000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C22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分娩镇痛</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A9F4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采用麻醉镇痛，以起到减轻产妇分娩过程疼痛，提高分娩质量及舒适度，保证孕产安全的作用。</w:t>
            </w: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5614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评估、建立通路、摆放体位、穿刺、置管、剂量验证、观察、注药、氧饱和度监测、装置连接、参数设定、评分、记录、分析病情，必要时调整剂量、撤除装置等所需的人力资源和基本物质资源消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235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小时</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841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8A7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F6D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484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7B2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387</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92A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以2小时为基价，超过2小时每增加1小时加50元。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4AB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甲类（限生育保险）</w:t>
            </w:r>
          </w:p>
        </w:tc>
      </w:tr>
      <w:tr w14:paraId="1451C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5"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59F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013112020100000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26B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导乐分娩</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CF16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由专业人员给予孕妇导乐相关知识讲解及陪伴，进行合理用力及分娩配合指导。</w:t>
            </w: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5B47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应用呼吸减痛、分娩球、腰骶按摩、自由体位等非药物方法减轻分娩疼痛、协助产程进展，给予产妇生活照护和陪伴，在导乐过程中随时观察产程进展等所需的人力资源和基本物质资源消耗。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DD0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67F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市场调节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590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市场调节</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2AA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市场调节</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085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市场调节</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9BE2">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38D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丙类</w:t>
            </w:r>
          </w:p>
        </w:tc>
      </w:tr>
      <w:tr w14:paraId="6A342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2"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611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013112020110000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9D5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亲情陪产</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2BFD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产妇在孕产过程中，由医务人员指导家属进入产房陪同孕产，直至胎儿娩出。</w:t>
            </w: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F639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陪产过程中所需的基本物质资源消耗。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77B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5E7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市场调节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26B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市场调节</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F5C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市场调节</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108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市场调节</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903E">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CC3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丙类</w:t>
            </w:r>
          </w:p>
        </w:tc>
      </w:tr>
      <w:tr w14:paraId="49525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644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013112020120000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B6E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胎儿外倒转</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28ED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纠正异常胎位（臀位、横位），创造顺产条件。</w:t>
            </w: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1C28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所定价格涵盖评估、胎位矫正、包扎固定、术后孕妇观察等胎儿外倒转所有必要操作所需的人力资源和基本物质资源消耗。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E79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C12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9CE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655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1A0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86</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B503">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FF0000"/>
                <w:sz w:val="16"/>
                <w:szCs w:val="16"/>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F92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甲类（限生育保险）</w:t>
            </w:r>
          </w:p>
        </w:tc>
      </w:tr>
      <w:tr w14:paraId="35653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052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013112020130000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5E2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产时宫外治疗</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EB0A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在生产过程中对有呼吸道梗阻和胸部疾病的胎儿进行处理，达到安全生产的目的。</w:t>
            </w: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F68F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所定价格涵盖消毒、气管插管/气管切开、采取措施避免胎盘过早剥离、胎儿手术等必要操作所需的人力资源和基本物质资源消耗。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5DA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006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1AD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747</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BCF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672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F99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538</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602F">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595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丙类</w:t>
            </w:r>
          </w:p>
        </w:tc>
      </w:tr>
      <w:tr w14:paraId="63662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DA8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013112020140000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2B1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胎儿宫内输血</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3341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在宫腔内对胎儿进行输血治疗。</w:t>
            </w: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E147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所定价格涵盖穿刺、抽血、输血等胎儿宫内输血所有必要操作所需的人力资源和基本物质资源消耗。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0C8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7D6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35C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B4D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47B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406</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A18A">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145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丙类</w:t>
            </w:r>
          </w:p>
        </w:tc>
      </w:tr>
      <w:tr w14:paraId="55C95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206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013112020150000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092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胎盘血管交通支凝固治疗</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1887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在宫腔内利用各种能量源对胎儿的胎盘血管交通支进行凝固治疗。</w:t>
            </w: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94F7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所定价格涵盖穿刺、内镜置入、观察、凝结胎盘血管交通支、撤除等胎盘血管交通支凝固治疗所有必要操作所需的人力资源和基本物质资源消耗。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CC4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756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B98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726</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CF2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653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5C0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523</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1D2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内镜下辅助操作加收400元。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2A8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丙类</w:t>
            </w:r>
          </w:p>
        </w:tc>
      </w:tr>
      <w:tr w14:paraId="0765F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7A0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013112020150001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C3A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胎盘血管交通支凝固治疗--内镜下辅助操作（加收）</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19C9B">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62A50">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506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8E2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539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72F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4FC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400</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91C4">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F1C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丙类</w:t>
            </w:r>
          </w:p>
        </w:tc>
      </w:tr>
      <w:tr w14:paraId="1997B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403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013112020160000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CB8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羊水调节</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5768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经羊膜腔穿刺对羊水进行抽吸、引流、灌注、置换，达到维持胎儿生长环境稳定的目的。</w:t>
            </w: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A1FB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所定价格涵盖定位、消毒、穿刺、抽吸/灌注、放置引流管等羊水调节所有必要操作所需人力资源和基本物质资源消耗。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492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311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DDD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FEA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81D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324</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A0E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内镜下辅助操作加收400元。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14C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乙类（限生育保险）</w:t>
            </w:r>
          </w:p>
        </w:tc>
      </w:tr>
      <w:tr w14:paraId="07463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599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013112020160001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DD7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羊水调节-内镜下辅助操作（加收）</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DF8C1">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F0429">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C62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01F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A32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DBE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786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400</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B21F">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6DE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丙类</w:t>
            </w:r>
          </w:p>
        </w:tc>
      </w:tr>
      <w:tr w14:paraId="5D492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DF1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013112020170000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704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子宫压迫止血</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AB30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经药物等保守治疗无效，需要压迫止血，达到止血目的。</w:t>
            </w: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D030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所定价格涵盖扩张宫口、探查宫腔并清宫、填塞宫腔或缝合、压迫止血，必要时材料取出等所需的人力资源和基本物质资源消耗。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FB0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06B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B03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3C8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9BA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62</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9A1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不得与宫腔填塞同时收费。</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9E4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r>
      <w:tr w14:paraId="06EFB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481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013112020180000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4C9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脐静脉穿刺</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426D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经羊膜腔获取胎儿脐静脉血。</w:t>
            </w: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9691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所定价格涵盖定位、消毒、穿刺、抽血等脐静脉穿刺所有必要操作所需的人力资源和基本物质资源消耗。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08C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875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7E8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AAF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FE9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65</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08C7">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153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丙类</w:t>
            </w:r>
          </w:p>
        </w:tc>
      </w:tr>
      <w:tr w14:paraId="54EDC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2"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DD1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013112020190000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02C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药物减胎</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2C74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因孕妇要求或医学指征，通过药物终止多胎妊娠中某一或两个（及以上）胎儿的发育。</w:t>
            </w: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78C3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所定价格涵盖消毒、穿刺、注药等药物减胎所有必要操作所需的人力资源和基本物质资源消耗。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304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752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A8C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FF2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972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BC1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778</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7F8A">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99F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丙类</w:t>
            </w:r>
          </w:p>
        </w:tc>
      </w:tr>
      <w:tr w14:paraId="7D1A7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ECA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013112020200000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AB0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中期引产</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9469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孕中期通过药物等方式终止胎儿发育，促宫颈成熟达到临产状态。</w:t>
            </w: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4FE1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所定价格涵盖消毒、促宫颈成熟、胎儿处理等中期引产所有必要操作所需的人力资源和基本物质资源消耗。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C09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885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A4C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B1C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F12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81</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28A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kern w:val="0"/>
                <w:sz w:val="16"/>
                <w:szCs w:val="16"/>
                <w:u w:val="none"/>
                <w:lang w:val="en-US" w:eastAsia="zh-CN" w:bidi="ar"/>
              </w:rPr>
              <w:t>孕期“14周-27周+6”孕周的适用。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97F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甲类（限生育保险）</w:t>
            </w:r>
          </w:p>
        </w:tc>
      </w:tr>
      <w:tr w14:paraId="165B0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3"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8C2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013112020210000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3F2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晚期引产</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CA52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孕晚期通过药物等方式终止胎儿发育，促宫颈成熟达到临产状态。</w:t>
            </w: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E0B4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所定价格涵盖消毒、促宫颈成熟、胎儿处理等晚期引产所有必要操作所需的人力资源和基本物质资源消耗。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601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6E2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9F6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C53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A11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81</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952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孕期超过“27周+6”孕周的适用。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2DC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甲类（限生育保险）</w:t>
            </w:r>
          </w:p>
        </w:tc>
      </w:tr>
      <w:tr w14:paraId="31177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8DB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013112020220000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C52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死胎接生</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9875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死胎娩出及处理全过程，不含尸体处理。</w:t>
            </w: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B166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所定价格涵盖消毒、协助娩出、胎盘处置，必要时使用器械助产等死胎接生所有必要操作所需的人力资源和基本物质资源消耗。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A49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977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04F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6BF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421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8E0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337</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3A1F">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69F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甲类（限生育保险）</w:t>
            </w:r>
          </w:p>
        </w:tc>
      </w:tr>
      <w:tr w14:paraId="07C23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EC5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3314</w:t>
            </w:r>
          </w:p>
        </w:tc>
        <w:tc>
          <w:tcPr>
            <w:tcW w:w="108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0F09FA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14.产科手术与操作</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28C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541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689D4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547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013314000010000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12D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阴道分娩（常规）</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D262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阴道分娩接生及新生儿处理的全过程处置。</w:t>
            </w: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8933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自第二产程开始至第四产程结束期间常规经阴道分娩的全过程和必要操作，包括对产妇的密切观察、生产指导、干预措施，协助胎儿娩出、胎盘娩出，对脐带、胎盘、胎膜的检查处理，对产道的检查、会阴侧切、缝合及裂伤修补（1-2度），母婴观察、处理、评分及记录等所需的人力资源和基本物质资源消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9C1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BCD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15E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15B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595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5B3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476</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7D6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1.会阴裂伤修补(限3-4度)加收300元。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2.宫颈裂伤修补加收238元。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C7A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甲类（限生育保险）</w:t>
            </w:r>
          </w:p>
        </w:tc>
      </w:tr>
      <w:tr w14:paraId="146DF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813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013314000010001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4D4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阴道分娩（常规）-会阴裂伤修补（限3-4度）（加收）</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0942A">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2EB8A">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A2B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F23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39F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055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162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00CB">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B57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丙类</w:t>
            </w:r>
          </w:p>
        </w:tc>
      </w:tr>
      <w:tr w14:paraId="085C2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EDE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013314000010002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37C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阴道分娩（常规）-宫颈裂伤修补（加收）</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278A3">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79C57">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7DC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1A8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11F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F61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238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294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238</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2D55">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50A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乙类（限生育保险）</w:t>
            </w:r>
          </w:p>
        </w:tc>
      </w:tr>
      <w:tr w14:paraId="1C180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8"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7E4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013314000020000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B48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阴道分娩（复杂）</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0B6F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产妇或胎儿存在情况复杂、风险较高等情况，经阴道分娩接生及新生儿处理的全过程处置。</w:t>
            </w: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CB51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自第二产程开始至第四产程结束期间复杂情况经阴道分娩的全过程和必要操作，包括对产妇的密切观察、生产指导、干预措施，协助胎儿娩出、胎盘娩出，对脐带、胎盘、胎膜的检查处理，对产道的检查、会阴侧切、缝合及裂伤修补（1-2度），母婴观察、处理、评分及记录等所需的人力资源和基本物质资源消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AE6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84C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1157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EEC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AE5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937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600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750</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136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阴道分娩（复杂）”是指：产妇或胎儿存在瘢痕子宫、巨大儿、胎儿臀位、肩难产等显著增加阴道分娩难度及风险的情况，或生产过程中医务人员采用胎位旋转、臀位助产、器械助产、手取胎盘等特殊措施的情况。                                       2.会阴裂伤修补(限3-4度)加收300元。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3.宫颈裂伤修补加收238元。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A28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甲类（限生育保险）</w:t>
            </w:r>
          </w:p>
        </w:tc>
      </w:tr>
      <w:tr w14:paraId="4946B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A61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013314000020001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0EB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阴道分娩（复杂）-会阴裂伤修补（限3-4度）（加收）</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0316B">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2734F">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279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AA8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A5C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FD8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8A9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C684">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355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丙类</w:t>
            </w:r>
          </w:p>
        </w:tc>
      </w:tr>
      <w:tr w14:paraId="2F791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2C6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013314000020002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893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阴道分娩（复杂）-宫颈裂伤修补（加收）</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72BA6">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80478">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54A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0F3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C82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8F2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238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95D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238</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CE6E">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CFC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乙类（限生育保险）</w:t>
            </w:r>
          </w:p>
        </w:tc>
      </w:tr>
      <w:tr w14:paraId="215F2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2"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078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013314000030000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EF1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剖宫产（常规）</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679C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产妇难产或不适于阴道分娩，通过手术方式分娩接生及新生儿处理的全过程处置。</w:t>
            </w: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1260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常规情况通过手术娩出胎儿的全过程和必要操作，包括切开子宫、娩出胎儿、胎盘处理、清理缝合、止血包扎处理等手术全过程，新生儿的观察、处理、评分及记录等所需的人力资源和基本物质资源消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C34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9CB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1064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71E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957</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D3F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861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679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689</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2DB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阴道分娩转剖宫产加收20%。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963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甲类（限生育保险）</w:t>
            </w:r>
          </w:p>
        </w:tc>
      </w:tr>
      <w:tr w14:paraId="101D2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F38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013314000030001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170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剖宫产（常规）-阴道分娩转剖宫产（加收）</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EAF24">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7A4A6">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D1D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2EC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8A6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923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172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574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138</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8C9B">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CA2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丙类</w:t>
            </w:r>
          </w:p>
        </w:tc>
      </w:tr>
      <w:tr w14:paraId="09108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3"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189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013314000040000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94B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剖宫产（复杂）</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12BA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产妇难产或不适于阴道分娩，且产妇或胎儿存在情况复杂、风险较高等情况，通过手术方式分娩接生及新生儿处理的全过程处置。</w:t>
            </w: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BE7F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复杂情况通过手术娩出胎儿的全过程和必要操作，包括切开子宫、娩出胎儿、胎盘处理、清理缝合、止血包扎处理等手术全过程，新生儿的观察、处理、评分及记录等所需的人力资源和基本物质资源消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B72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327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C3C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1544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827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1390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737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1112</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47B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剖宫产（复杂）”是指：产妇或胎儿存在前置胎盘、胎盘植入、凝血功能异常、子宫肌瘤（4-5cm以上）、瘢痕子宫、胎儿横位、胎儿臀位、产程中剖宫产、腹膜外妊娠等显著增加剖宫产实施难度及风险的情况。                                  2.阴道分娩转剖宫产加收20%。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EE3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甲类（限生育保险）</w:t>
            </w:r>
          </w:p>
        </w:tc>
      </w:tr>
      <w:tr w14:paraId="4B394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D44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013314000040001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64E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剖宫产（复杂）-阴道分娩转剖宫产（加收）</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E3407">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BFCA2">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BFE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0B0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BEF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B66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278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E6C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222</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9D3E">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3E5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丙类</w:t>
            </w:r>
          </w:p>
        </w:tc>
      </w:tr>
      <w:tr w14:paraId="0FA4B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8"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1E9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013314000050000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018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宫颈环扎术（常规）</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CEAC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对宫颈机能不全的治疗，达到延长孕周，维持胎儿存活目的。</w:t>
            </w: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8B44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所定价格涵盖消毒、宫颈固定、缝合、拆线，必要时胎膜复位等宫颈环扎术所有必要操作所需的人力资源和基本物质资源消耗。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6E1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E73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40A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E70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359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150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287</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1B3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1.内镜下辅助操作加收400元。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2.不得与孕期子宫内口缝合术同时收费。</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34D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丙类</w:t>
            </w:r>
          </w:p>
        </w:tc>
      </w:tr>
      <w:tr w14:paraId="7BBCB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6BB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013314000050001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C9D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宫颈环扎术（常规）-内镜下辅助操作（加收）</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7CBF8">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D2409">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99F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E3A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074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5DB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640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400</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9DC6">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EF9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丙类</w:t>
            </w:r>
          </w:p>
        </w:tc>
      </w:tr>
      <w:tr w14:paraId="31F5E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4"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B76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013314000060000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348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宫颈环扎术（特殊）</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6FBF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对宫口扩张3cm以上等特殊情况的紧急环扎治疗，达到延长孕周，维持胎儿存活目的。</w:t>
            </w: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A39C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所定价格涵盖消毒、宫颈固定、缝合、拆线，必要时胎膜复位等宫颈环扎术所有必要操作所需的人力资源和基本物质资源消耗。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6BC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ABD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B3C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599</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EA8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539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67F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431</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62C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1.内镜下辅助操作加收400元。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2.不得与孕期子宫内口缝合术同时收费。</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F9B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丙类</w:t>
            </w:r>
          </w:p>
        </w:tc>
      </w:tr>
      <w:tr w14:paraId="6C93B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E96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013314000060001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104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宫颈环扎术（特殊）-内镜下辅助操作（加收）</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2A279">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164BC">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F29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CDE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70D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DC5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5DB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400</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1261">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720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丙类</w:t>
            </w:r>
          </w:p>
        </w:tc>
      </w:tr>
      <w:tr w14:paraId="689B4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567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013314000070000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9EE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院外分娩产后处置</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BBCA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产妇于院外娩出胎儿后，在院内对产妇和新生儿进行的产后处理。</w:t>
            </w: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DC6A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所定价格涵盖第三产程开始的脐带和胎盘处理，会阴裂伤修补（1-2度）、侧切及缝合、胎儿娩出后母婴观察等院外分娩产后处置所有必要操作所需的人力资源和基本物质资源消耗。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41C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275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A89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18E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243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BFA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194</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33C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1.会阴裂伤修补(限3-4度)加收300元。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2.宫颈裂伤修补加收238元。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69B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丙类</w:t>
            </w:r>
          </w:p>
        </w:tc>
      </w:tr>
      <w:tr w14:paraId="07D01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A3D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013314000070001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71F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院外分娩产后处置-会阴裂伤修补（限3-4度）（加收）</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AEF7D">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F14E4">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7CB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2E5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29E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D0F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6D4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9ED1">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6FB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丙类</w:t>
            </w:r>
          </w:p>
        </w:tc>
      </w:tr>
      <w:tr w14:paraId="7AF41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A30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013314000070002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A05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院外分娩产后处置-宫颈裂伤修补（加收）</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D9A24">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53356">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A6A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C7F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142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465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238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4E9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238</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6BA8">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20F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丙类</w:t>
            </w:r>
          </w:p>
        </w:tc>
      </w:tr>
      <w:tr w14:paraId="251E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1CC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013314000080000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C6E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手术减胎</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D132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因孕妇要求或医学指征，通过手术终止多胎妊娠中某一或两个（及以上）胎儿的发育。</w:t>
            </w:r>
          </w:p>
        </w:tc>
        <w:tc>
          <w:tcPr>
            <w:tcW w:w="3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652C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所定价格涵盖消毒、确认位置、穿刺、使用电凝、激光、射频等各种方式进行减胎所需的人力资源和基本物质资源消耗。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DFA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E8A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00C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9B2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972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6E0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778</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DE9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内镜下辅助操作加收400元。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509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丙类</w:t>
            </w:r>
          </w:p>
        </w:tc>
      </w:tr>
      <w:tr w14:paraId="73312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BA9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013314000080001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8B3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手术减胎-内镜下辅助操作（加收）</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B3A8">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6"/>
                <w:szCs w:val="16"/>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E249">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6"/>
                <w:szCs w:val="16"/>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836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AE4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5F9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054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D6E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400</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AFEA">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16"/>
                <w:szCs w:val="16"/>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9BA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丙类</w:t>
            </w:r>
          </w:p>
        </w:tc>
      </w:tr>
    </w:tbl>
    <w:p w14:paraId="7F70E016">
      <w:pPr>
        <w:rPr>
          <w:rFonts w:hint="eastAsia"/>
        </w:rPr>
      </w:pPr>
      <w:bookmarkStart w:id="0" w:name="_GoBack"/>
      <w:bookmarkEnd w:id="0"/>
    </w:p>
    <w:sectPr>
      <w:pgSz w:w="16838" w:h="11906" w:orient="landscape"/>
      <w:pgMar w:top="1134" w:right="1134" w:bottom="1134" w:left="1134" w:header="851" w:footer="567" w:gutter="0"/>
      <w:pgNumType w:fmt="decimal" w:start="4"/>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B2E29"/>
    <w:rsid w:val="141F3A5E"/>
    <w:rsid w:val="14B6386E"/>
    <w:rsid w:val="16380DF1"/>
    <w:rsid w:val="1A216553"/>
    <w:rsid w:val="1B7476A5"/>
    <w:rsid w:val="1BF84071"/>
    <w:rsid w:val="1F991871"/>
    <w:rsid w:val="22D55C33"/>
    <w:rsid w:val="27677AF8"/>
    <w:rsid w:val="315B2AE0"/>
    <w:rsid w:val="433E4728"/>
    <w:rsid w:val="4E211BF2"/>
    <w:rsid w:val="54327630"/>
    <w:rsid w:val="5AF9704F"/>
    <w:rsid w:val="5E0878E2"/>
    <w:rsid w:val="64AB2E29"/>
    <w:rsid w:val="6FDD3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7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5378</Words>
  <Characters>6281</Characters>
  <Lines>0</Lines>
  <Paragraphs>0</Paragraphs>
  <TotalTime>39</TotalTime>
  <ScaleCrop>false</ScaleCrop>
  <LinksUpToDate>false</LinksUpToDate>
  <CharactersWithSpaces>6516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2025-01-08T06:27:00Z</dcterms:created>
  <dc:creator>静</dc:creator>
  <cp:lastModifiedBy>花生</cp:lastModifiedBy>
  <cp:lastPrinted>2025-01-20T07:32:56Z</cp:lastPrinted>
  <dcterms:modified xsi:type="dcterms:W3CDTF">2025-01-20T07:33:01Z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E4E8DDD38D1B492EA4DCF041653FBF73_11</vt:lpwstr>
  </property>
  <property fmtid="{D5CDD505-2E9C-101B-9397-08002B2CF9AE}" pid="4" name="KSOTemplateDocerSaveRecord">
    <vt:lpwstr>eyJoZGlkIjoiZDlhNjQyNTQwNTNiYmMzZWJkNDViZWQ2YTU4MDFhNmQiLCJ1c2VySWQiOiI2MzI3ODExMTAifQ==</vt:lpwstr>
  </property>
</Properties>
</file>