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870"/>
        <w:gridCol w:w="1005"/>
        <w:gridCol w:w="947"/>
        <w:gridCol w:w="1134"/>
        <w:gridCol w:w="964"/>
        <w:gridCol w:w="1021"/>
        <w:gridCol w:w="283"/>
        <w:gridCol w:w="361"/>
        <w:gridCol w:w="348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医保经办大厅装修改造费用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医保经办大厅装修改造费用项目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由于医保局是2018年底机构改革新成立单位，按照市领导指示，将原房产交易大厅二楼、原东坡火锅城划拨给我单位做为经办大厅。根据现有房屋状况及市领导对医保经办大厅、药品招采大厅等提出的功能需求及便民利民要求，结合办公用房使用管理有关规定，拟对市医保经办大厅进行装修改造。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已按合同约定完成医保经办大厅装修改造工作，并于11月投入使用，达到了便民利民使用要求。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主体工程完成率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装修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改造数量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1700㎡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1700㎡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工程一次验收合格率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项目完成时间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2020年9月28日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2020年9月28日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设计功能实现率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建筑利用率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参保居民满意度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97.6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还有部分工程款待审计完成后支付。</w:t>
            </w:r>
          </w:p>
        </w:tc>
      </w:tr>
    </w:tbl>
    <w:p>
      <w:pPr>
        <w:rPr>
          <w:rFonts w:ascii="黑体" w:hAnsi="黑体" w:eastAsia="黑体"/>
        </w:rPr>
        <w:sectPr>
          <w:footerReference r:id="rId3" w:type="default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BDF7B84"/>
    <w:rsid w:val="005B3210"/>
    <w:rsid w:val="007703CC"/>
    <w:rsid w:val="007B2DB3"/>
    <w:rsid w:val="00A76A47"/>
    <w:rsid w:val="00AB4663"/>
    <w:rsid w:val="00BF0DFE"/>
    <w:rsid w:val="10705FA7"/>
    <w:rsid w:val="2CDF202B"/>
    <w:rsid w:val="2DDB74F5"/>
    <w:rsid w:val="339523BB"/>
    <w:rsid w:val="37EA41B5"/>
    <w:rsid w:val="3BDF7B84"/>
    <w:rsid w:val="4C581C60"/>
    <w:rsid w:val="500E2E70"/>
    <w:rsid w:val="5AC0299B"/>
    <w:rsid w:val="6483053E"/>
    <w:rsid w:val="736A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103</Words>
  <Characters>588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2020-10-21T03:29:00Z</dcterms:created>
  <dc:creator>x。z</dc:creator>
  <cp:lastModifiedBy></cp:lastModifiedBy>
  <cp:lastPrinted>2021-03-16T07:15:49Z</cp:lastPrinted>
  <dcterms:modified xsi:type="dcterms:W3CDTF">2021-03-16T08:16:34Z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