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仿宋" w:hAnsi="仿宋" w:eastAsia="仿宋" w:cs="仿宋"/>
          <w:b/>
          <w:sz w:val="32"/>
          <w:szCs w:val="32"/>
          <w:lang w:val="en-US"/>
        </w:rPr>
      </w:pPr>
      <w:r>
        <w:rPr>
          <w:rFonts w:hint="eastAsia" w:ascii="仿宋" w:hAnsi="仿宋" w:eastAsia="仿宋" w:cs="仿宋"/>
          <w:b/>
          <w:kern w:val="2"/>
          <w:sz w:val="32"/>
          <w:szCs w:val="32"/>
          <w:lang w:val="en-US" w:eastAsia="zh-CN" w:bidi="ar"/>
        </w:rPr>
        <w:t>附件</w:t>
      </w:r>
      <w:bookmarkStart w:id="0" w:name="_GoBack"/>
      <w:bookmarkEnd w:id="0"/>
      <w:r>
        <w:rPr>
          <w:rFonts w:hint="eastAsia" w:ascii="仿宋" w:hAnsi="仿宋" w:eastAsia="仿宋" w:cs="仿宋"/>
          <w:b/>
          <w:kern w:val="2"/>
          <w:sz w:val="32"/>
          <w:szCs w:val="32"/>
          <w:lang w:val="en-US" w:eastAsia="zh-CN" w:bidi="ar"/>
        </w:rPr>
        <w:t>2</w:t>
      </w:r>
    </w:p>
    <w:tbl>
      <w:tblPr>
        <w:tblStyle w:val="2"/>
        <w:tblW w:w="15030" w:type="dxa"/>
        <w:tblInd w:w="0" w:type="dxa"/>
        <w:shd w:val="clear"/>
        <w:tblLayout w:type="fixed"/>
        <w:tblCellMar>
          <w:top w:w="0" w:type="dxa"/>
          <w:left w:w="0" w:type="dxa"/>
          <w:bottom w:w="0" w:type="dxa"/>
          <w:right w:w="0" w:type="dxa"/>
        </w:tblCellMar>
      </w:tblPr>
      <w:tblGrid>
        <w:gridCol w:w="722"/>
        <w:gridCol w:w="1514"/>
        <w:gridCol w:w="7109"/>
        <w:gridCol w:w="3089"/>
        <w:gridCol w:w="1019"/>
        <w:gridCol w:w="779"/>
        <w:gridCol w:w="793"/>
      </w:tblGrid>
      <w:tr>
        <w:tblPrEx>
          <w:shd w:val="clear"/>
          <w:tblCellMar>
            <w:top w:w="0" w:type="dxa"/>
            <w:left w:w="0" w:type="dxa"/>
            <w:bottom w:w="0" w:type="dxa"/>
            <w:right w:w="0" w:type="dxa"/>
          </w:tblCellMar>
        </w:tblPrEx>
        <w:trPr>
          <w:trHeight w:val="781" w:hRule="atLeast"/>
        </w:trPr>
        <w:tc>
          <w:tcPr>
            <w:tcW w:w="15032" w:type="dxa"/>
            <w:gridSpan w:val="7"/>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b/>
                <w:bCs w:val="0"/>
                <w:color w:val="000000"/>
                <w:sz w:val="32"/>
                <w:szCs w:val="32"/>
                <w:bdr w:val="none" w:color="auto" w:sz="0" w:space="0"/>
                <w:lang w:val="en-US"/>
              </w:rPr>
            </w:pPr>
            <w:r>
              <w:rPr>
                <w:rFonts w:hint="eastAsia" w:ascii="方正小标宋简体" w:hAnsi="方正小标宋简体" w:eastAsia="方正小标宋简体" w:cs="方正小标宋简体"/>
                <w:b/>
                <w:bCs w:val="0"/>
                <w:color w:val="000000"/>
                <w:kern w:val="0"/>
                <w:sz w:val="32"/>
                <w:szCs w:val="32"/>
                <w:bdr w:val="none" w:color="auto" w:sz="0" w:space="0"/>
                <w:lang w:val="en-US" w:eastAsia="zh-CN" w:bidi="ar"/>
              </w:rPr>
              <w:t>承德市2019年度省脱贫攻坚成效考核评估反馈点对点问题任务清单</w:t>
            </w:r>
          </w:p>
        </w:tc>
      </w:tr>
      <w:tr>
        <w:tblPrEx>
          <w:tblCellMar>
            <w:top w:w="0" w:type="dxa"/>
            <w:left w:w="0" w:type="dxa"/>
            <w:bottom w:w="0" w:type="dxa"/>
            <w:right w:w="0" w:type="dxa"/>
          </w:tblCellMar>
        </w:tblPrEx>
        <w:trPr>
          <w:trHeight w:val="627" w:hRule="atLeast"/>
        </w:trPr>
        <w:tc>
          <w:tcPr>
            <w:tcW w:w="723"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bdr w:val="none" w:color="auto" w:sz="0" w:space="0"/>
                <w:lang w:val="en-US"/>
              </w:rPr>
            </w:pPr>
            <w:r>
              <w:rPr>
                <w:rFonts w:hint="eastAsia" w:ascii="宋体" w:hAnsi="宋体" w:eastAsia="宋体" w:cs="宋体"/>
                <w:b/>
                <w:bCs w:val="0"/>
                <w:color w:val="000000"/>
                <w:kern w:val="0"/>
                <w:sz w:val="22"/>
                <w:szCs w:val="22"/>
                <w:bdr w:val="none" w:color="auto" w:sz="0" w:space="0"/>
                <w:lang w:val="en-US" w:eastAsia="zh-CN" w:bidi="ar"/>
              </w:rPr>
              <w:t>类型</w:t>
            </w:r>
          </w:p>
        </w:tc>
        <w:tc>
          <w:tcPr>
            <w:tcW w:w="1515"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bdr w:val="none" w:color="auto" w:sz="0" w:space="0"/>
                <w:lang w:val="en-US"/>
              </w:rPr>
            </w:pPr>
            <w:r>
              <w:rPr>
                <w:rFonts w:hint="eastAsia" w:ascii="宋体" w:hAnsi="宋体" w:eastAsia="宋体" w:cs="宋体"/>
                <w:b/>
                <w:bCs w:val="0"/>
                <w:color w:val="000000"/>
                <w:kern w:val="0"/>
                <w:sz w:val="22"/>
                <w:szCs w:val="22"/>
                <w:bdr w:val="none" w:color="auto" w:sz="0" w:space="0"/>
                <w:lang w:val="en-US" w:eastAsia="zh-CN" w:bidi="ar"/>
              </w:rPr>
              <w:t>问题简述</w:t>
            </w:r>
          </w:p>
        </w:tc>
        <w:tc>
          <w:tcPr>
            <w:tcW w:w="711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bdr w:val="none" w:color="auto" w:sz="0" w:space="0"/>
                <w:lang w:val="en-US"/>
              </w:rPr>
            </w:pPr>
            <w:r>
              <w:rPr>
                <w:rFonts w:hint="eastAsia" w:ascii="宋体" w:hAnsi="宋体" w:eastAsia="宋体" w:cs="宋体"/>
                <w:b/>
                <w:bCs w:val="0"/>
                <w:color w:val="000000"/>
                <w:kern w:val="0"/>
                <w:sz w:val="22"/>
                <w:szCs w:val="22"/>
                <w:bdr w:val="none" w:color="auto" w:sz="0" w:space="0"/>
                <w:lang w:val="en-US" w:eastAsia="zh-CN" w:bidi="ar"/>
              </w:rPr>
              <w:t>具体问题</w:t>
            </w:r>
          </w:p>
        </w:tc>
        <w:tc>
          <w:tcPr>
            <w:tcW w:w="309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0"/>
                <w:sz w:val="21"/>
                <w:szCs w:val="21"/>
                <w:bdr w:val="none" w:color="auto" w:sz="0" w:space="0"/>
                <w:lang w:val="en-US" w:eastAsia="zh-CN" w:bidi="ar"/>
              </w:rPr>
              <w:t>整改措施</w:t>
            </w:r>
          </w:p>
        </w:tc>
        <w:tc>
          <w:tcPr>
            <w:tcW w:w="102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0"/>
                <w:sz w:val="21"/>
                <w:szCs w:val="21"/>
                <w:bdr w:val="none" w:color="auto" w:sz="0" w:space="0"/>
                <w:lang w:val="en-US" w:eastAsia="zh-CN" w:bidi="ar"/>
              </w:rPr>
              <w:t>责任人</w:t>
            </w:r>
          </w:p>
        </w:tc>
        <w:tc>
          <w:tcPr>
            <w:tcW w:w="780" w:type="dxa"/>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0"/>
                <w:sz w:val="21"/>
                <w:szCs w:val="21"/>
                <w:bdr w:val="none" w:color="auto" w:sz="0" w:space="0"/>
                <w:lang w:val="en-US" w:eastAsia="zh-CN" w:bidi="ar"/>
              </w:rPr>
              <w:t>责任部门</w:t>
            </w:r>
          </w:p>
        </w:tc>
        <w:tc>
          <w:tcPr>
            <w:tcW w:w="794"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Cs w:val="21"/>
                <w:bdr w:val="none" w:color="auto" w:sz="0" w:space="0"/>
                <w:lang w:val="en-US"/>
              </w:rPr>
            </w:pPr>
            <w:r>
              <w:rPr>
                <w:rFonts w:hint="eastAsia" w:ascii="宋体" w:hAnsi="宋体" w:eastAsia="宋体" w:cs="宋体"/>
                <w:b/>
                <w:bCs w:val="0"/>
                <w:color w:val="000000"/>
                <w:kern w:val="0"/>
                <w:sz w:val="21"/>
                <w:szCs w:val="21"/>
                <w:bdr w:val="none" w:color="auto" w:sz="0" w:space="0"/>
                <w:lang w:val="en-US" w:eastAsia="zh-CN" w:bidi="ar"/>
              </w:rPr>
              <w:t>完成时间</w:t>
            </w:r>
          </w:p>
        </w:tc>
      </w:tr>
      <w:tr>
        <w:tblPrEx>
          <w:tblCellMar>
            <w:top w:w="0" w:type="dxa"/>
            <w:left w:w="0" w:type="dxa"/>
            <w:bottom w:w="0" w:type="dxa"/>
            <w:right w:w="0" w:type="dxa"/>
          </w:tblCellMar>
        </w:tblPrEx>
        <w:trPr>
          <w:trHeight w:val="518" w:hRule="atLeast"/>
        </w:trPr>
        <w:tc>
          <w:tcPr>
            <w:tcW w:w="723" w:type="dxa"/>
            <w:vMerge w:val="restart"/>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0"/>
                <w:sz w:val="21"/>
                <w:szCs w:val="21"/>
                <w:bdr w:val="none" w:color="auto" w:sz="0" w:space="0"/>
                <w:lang w:val="en-US" w:eastAsia="zh-CN" w:bidi="ar"/>
              </w:rPr>
              <w:t>三保障工作不够扎实</w:t>
            </w:r>
          </w:p>
        </w:tc>
        <w:tc>
          <w:tcPr>
            <w:tcW w:w="1515" w:type="dxa"/>
            <w:vMerge w:val="restart"/>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val="0"/>
                <w:color w:val="000000"/>
                <w:szCs w:val="21"/>
                <w:bdr w:val="none" w:color="auto" w:sz="0" w:space="0"/>
                <w:lang w:val="en-US"/>
              </w:rPr>
            </w:pPr>
            <w:r>
              <w:rPr>
                <w:rFonts w:hint="eastAsia" w:ascii="仿宋" w:hAnsi="仿宋" w:eastAsia="仿宋" w:cs="仿宋"/>
                <w:b/>
                <w:bCs w:val="0"/>
                <w:color w:val="000000"/>
                <w:kern w:val="0"/>
                <w:sz w:val="21"/>
                <w:szCs w:val="21"/>
                <w:bdr w:val="none" w:color="auto" w:sz="0" w:space="0"/>
                <w:lang w:val="en-US" w:eastAsia="zh-CN" w:bidi="ar"/>
              </w:rPr>
              <w:t>1</w:t>
            </w:r>
            <w:r>
              <w:rPr>
                <w:rFonts w:hint="eastAsia" w:ascii="仿宋" w:hAnsi="仿宋" w:eastAsia="仿宋" w:cs="仿宋"/>
                <w:color w:val="000000"/>
                <w:kern w:val="0"/>
                <w:sz w:val="21"/>
                <w:szCs w:val="21"/>
                <w:bdr w:val="none" w:color="auto" w:sz="0" w:space="0"/>
                <w:lang w:val="en-US" w:eastAsia="zh-CN" w:bidi="ar"/>
              </w:rPr>
              <w:t>、健康扶贫政策落实不到位,部分县健康扶贫政策宣传不到位;2、慢性病管理不规范，《慢性病证》应发未发，可能影响正常落实；3、医保监管工作不够规范有力，慢性病档案填写不完整。</w:t>
            </w:r>
          </w:p>
        </w:tc>
        <w:tc>
          <w:tcPr>
            <w:tcW w:w="7110" w:type="dxa"/>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0"/>
                <w:sz w:val="21"/>
                <w:szCs w:val="21"/>
                <w:bdr w:val="none" w:color="auto" w:sz="0" w:space="0"/>
                <w:lang w:val="en-US" w:eastAsia="zh-CN" w:bidi="ar"/>
              </w:rPr>
              <w:t>承德县，健康扶贫慢性病相关政策宣传不到位，入户走访发现，高寺台镇三岔口村贫困户白玉付，因该贫困户不了解此项政策，目前未享受相关慢性病政策；</w:t>
            </w:r>
          </w:p>
        </w:tc>
        <w:tc>
          <w:tcPr>
            <w:tcW w:w="3090" w:type="dxa"/>
            <w:vMerge w:val="restart"/>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numPr>
                <w:ilvl w:val="0"/>
                <w:numId w:val="1"/>
              </w:numPr>
              <w:suppressLineNumbers w:val="0"/>
              <w:spacing w:before="0" w:beforeAutospacing="0" w:after="0" w:afterAutospacing="0"/>
              <w:ind w:left="0" w:right="0" w:firstLine="0"/>
              <w:jc w:val="left"/>
              <w:textAlignment w:val="center"/>
              <w:rPr>
                <w:rFonts w:hint="eastAsia" w:ascii="仿宋" w:hAnsi="仿宋" w:eastAsia="仿宋" w:cs="仿宋"/>
                <w:color w:val="000000"/>
                <w:kern w:val="0"/>
                <w:sz w:val="20"/>
                <w:szCs w:val="20"/>
                <w:bdr w:val="none" w:color="auto" w:sz="0" w:space="0"/>
                <w:lang w:val="en-US" w:bidi="ar"/>
              </w:rPr>
            </w:pPr>
            <w:r>
              <w:rPr>
                <w:rFonts w:hint="eastAsia" w:ascii="仿宋" w:hAnsi="仿宋" w:eastAsia="仿宋" w:cs="仿宋"/>
                <w:color w:val="000000"/>
                <w:kern w:val="0"/>
                <w:sz w:val="20"/>
                <w:szCs w:val="20"/>
                <w:bdr w:val="none" w:color="auto" w:sz="0" w:space="0"/>
                <w:lang w:val="en-US" w:eastAsia="zh-CN" w:bidi="ar"/>
              </w:rPr>
              <w:t>进一步强化政策宣传工作，发挥各级、各类宣传媒介的作用，对各级定点医疗机构持续深入做好医疗保障救助扶贫宣传工作。</w:t>
            </w:r>
          </w:p>
          <w:p>
            <w:pPr>
              <w:keepNext w:val="0"/>
              <w:keepLines w:val="0"/>
              <w:widowControl/>
              <w:numPr>
                <w:ilvl w:val="0"/>
                <w:numId w:val="1"/>
              </w:numPr>
              <w:suppressLineNumbers w:val="0"/>
              <w:spacing w:before="0" w:beforeAutospacing="0" w:after="0" w:afterAutospacing="0"/>
              <w:ind w:left="0" w:right="0" w:firstLine="0"/>
              <w:jc w:val="left"/>
              <w:textAlignment w:val="center"/>
              <w:rPr>
                <w:rFonts w:hint="eastAsia" w:ascii="仿宋" w:hAnsi="仿宋" w:eastAsia="仿宋" w:cs="仿宋"/>
                <w:color w:val="000000"/>
                <w:sz w:val="20"/>
                <w:szCs w:val="20"/>
                <w:bdr w:val="none" w:color="auto" w:sz="0" w:space="0"/>
                <w:lang w:val="en-US"/>
              </w:rPr>
            </w:pPr>
            <w:r>
              <w:rPr>
                <w:rFonts w:hint="eastAsia" w:ascii="仿宋" w:hAnsi="仿宋" w:eastAsia="仿宋" w:cs="仿宋"/>
                <w:color w:val="000000"/>
                <w:kern w:val="0"/>
                <w:sz w:val="20"/>
                <w:szCs w:val="20"/>
                <w:bdr w:val="none" w:color="auto" w:sz="0" w:space="0"/>
                <w:lang w:val="en-US" w:eastAsia="zh-CN" w:bidi="ar"/>
              </w:rPr>
              <w:t>严格落实《承德市人民政府办公室关于印发承德市提高贫困人口医疗保障救助水平解决因病致贫返贫问题工作实施细则的通知》（承市政办字【2016】279号）等配套文件的规定，作为政策的实施主体要继续集中时间、人员开展农村贫困人口慢性疾病全面筛查工作，确保将符合条件的全部纳入；评审合格人员及时发放《慢性病证》，并要在家中张贴《慢性病公示牌》</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sz w:val="20"/>
                <w:szCs w:val="20"/>
                <w:bdr w:val="none" w:color="auto" w:sz="0" w:space="0"/>
                <w:lang w:val="en-US"/>
              </w:rPr>
            </w:pPr>
            <w:r>
              <w:rPr>
                <w:rFonts w:hint="eastAsia" w:ascii="仿宋" w:hAnsi="仿宋" w:eastAsia="仿宋" w:cs="仿宋"/>
                <w:color w:val="000000"/>
                <w:kern w:val="0"/>
                <w:sz w:val="20"/>
                <w:szCs w:val="20"/>
                <w:bdr w:val="none" w:color="auto" w:sz="0" w:space="0"/>
                <w:lang w:val="en-US" w:eastAsia="zh-CN" w:bidi="ar"/>
              </w:rPr>
              <w:t>3、对日常贫困人员申报门诊慢性病的要做到随时申报、按月认定、及时落实待遇，并要做好《慢性病台账》登记工作。</w:t>
            </w:r>
          </w:p>
        </w:tc>
        <w:tc>
          <w:tcPr>
            <w:tcW w:w="1020" w:type="dxa"/>
            <w:vMerge w:val="restart"/>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bdr w:val="none" w:color="auto" w:sz="0" w:space="0"/>
                <w:lang w:val="en-US" w:bidi="ar"/>
              </w:rPr>
            </w:pPr>
            <w:r>
              <w:rPr>
                <w:rFonts w:hint="eastAsia" w:ascii="仿宋" w:hAnsi="仿宋" w:eastAsia="仿宋" w:cs="仿宋"/>
                <w:color w:val="000000"/>
                <w:kern w:val="0"/>
                <w:sz w:val="18"/>
                <w:szCs w:val="18"/>
                <w:bdr w:val="none" w:color="auto" w:sz="0" w:space="0"/>
                <w:lang w:val="en-US" w:eastAsia="zh-CN" w:bidi="ar"/>
              </w:rPr>
              <w:t>司景成</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bdr w:val="none" w:color="auto" w:sz="0" w:space="0"/>
                <w:lang w:val="en-US"/>
              </w:rPr>
            </w:pPr>
            <w:r>
              <w:rPr>
                <w:rFonts w:hint="eastAsia" w:ascii="仿宋" w:hAnsi="仿宋" w:eastAsia="仿宋" w:cs="仿宋"/>
                <w:color w:val="000000"/>
                <w:kern w:val="0"/>
                <w:sz w:val="18"/>
                <w:szCs w:val="18"/>
                <w:bdr w:val="none" w:color="auto" w:sz="0" w:space="0"/>
                <w:lang w:val="en-US" w:eastAsia="zh-CN" w:bidi="ar"/>
              </w:rPr>
              <w:t xml:space="preserve">各县（市、区）医疗保障局主要负责人 </w:t>
            </w:r>
          </w:p>
        </w:tc>
        <w:tc>
          <w:tcPr>
            <w:tcW w:w="780" w:type="dxa"/>
            <w:vMerge w:val="restart"/>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18"/>
                <w:szCs w:val="18"/>
                <w:bdr w:val="none" w:color="auto" w:sz="0" w:space="0"/>
                <w:lang w:val="en-US" w:bidi="ar"/>
              </w:rPr>
            </w:pPr>
            <w:r>
              <w:rPr>
                <w:rFonts w:hint="eastAsia" w:ascii="仿宋" w:hAnsi="仿宋" w:eastAsia="仿宋" w:cs="仿宋"/>
                <w:color w:val="000000"/>
                <w:kern w:val="0"/>
                <w:sz w:val="18"/>
                <w:szCs w:val="18"/>
                <w:bdr w:val="none" w:color="auto" w:sz="0" w:space="0"/>
                <w:lang w:val="en-US" w:eastAsia="zh-CN" w:bidi="ar"/>
              </w:rPr>
              <w:t xml:space="preserve">承德市医疗保障局 </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bdr w:val="none" w:color="auto" w:sz="0" w:space="0"/>
                <w:lang w:val="en-US"/>
              </w:rPr>
            </w:pPr>
            <w:r>
              <w:rPr>
                <w:rFonts w:hint="eastAsia" w:ascii="仿宋" w:hAnsi="仿宋" w:eastAsia="仿宋" w:cs="仿宋"/>
                <w:color w:val="000000"/>
                <w:kern w:val="0"/>
                <w:sz w:val="18"/>
                <w:szCs w:val="18"/>
                <w:bdr w:val="none" w:color="auto" w:sz="0" w:space="0"/>
                <w:lang w:val="en-US" w:eastAsia="zh-CN" w:bidi="ar"/>
              </w:rPr>
              <w:t>各县（市、区）医疗保障局</w:t>
            </w:r>
          </w:p>
        </w:tc>
        <w:tc>
          <w:tcPr>
            <w:tcW w:w="794" w:type="dxa"/>
            <w:vMerge w:val="restart"/>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18"/>
                <w:szCs w:val="18"/>
                <w:bdr w:val="none" w:color="auto" w:sz="0" w:space="0"/>
                <w:lang w:val="en-US"/>
              </w:rPr>
            </w:pPr>
            <w:r>
              <w:rPr>
                <w:rFonts w:hint="eastAsia" w:ascii="仿宋" w:hAnsi="仿宋" w:eastAsia="仿宋" w:cs="仿宋"/>
                <w:color w:val="000000"/>
                <w:kern w:val="0"/>
                <w:sz w:val="18"/>
                <w:szCs w:val="18"/>
                <w:bdr w:val="none" w:color="auto" w:sz="0" w:space="0"/>
                <w:lang w:val="en-US" w:eastAsia="zh-CN" w:bidi="ar"/>
              </w:rPr>
              <w:t>12月15日前</w:t>
            </w:r>
          </w:p>
        </w:tc>
      </w:tr>
      <w:tr>
        <w:tblPrEx>
          <w:tblCellMar>
            <w:top w:w="0" w:type="dxa"/>
            <w:left w:w="0" w:type="dxa"/>
            <w:bottom w:w="0" w:type="dxa"/>
            <w:right w:w="0" w:type="dxa"/>
          </w:tblCellMar>
        </w:tblPrEx>
        <w:trPr>
          <w:trHeight w:val="90"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平泉市：“两不愁三保障”巩固提升工作弱化钝化，贫困户王殿申，已确诊为高血压并，《慢性病证》应办未办，《慢性病证》办理不到位；</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90"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隆化县：各别扶贫干部和贫困户对扶贫政策不熟悉，座谈发现，各别人大代表、政协委员、村干部、驻村工作队对扶贫政策不清楚、掌握不全面，宣传不到位；部分贫困户对慢性病评定等政策不了解，影响了扶贫政策落实；</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588"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双滦区：个别贫困户《慢性病证》办理政策宣讲不到位，</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613"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兴隆县：慢性病政策宣传不到位，部分贫困户不知道如何办理《慢性病证》；</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753"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滦平县：慢性病政策宣传不到位，部分贫困户不知道如何办理《慢性病证》；</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798"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丰宁县：对个别贫困户《慢性病证》证办理政策宣讲不到位；</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r>
        <w:tblPrEx>
          <w:tblCellMar>
            <w:top w:w="0" w:type="dxa"/>
            <w:left w:w="0" w:type="dxa"/>
            <w:bottom w:w="0" w:type="dxa"/>
            <w:right w:w="0" w:type="dxa"/>
          </w:tblCellMar>
        </w:tblPrEx>
        <w:trPr>
          <w:trHeight w:val="674" w:hRule="atLeast"/>
        </w:trPr>
        <w:tc>
          <w:tcPr>
            <w:tcW w:w="723"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515"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110" w:type="dxa"/>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000000"/>
                <w:kern w:val="0"/>
                <w:szCs w:val="21"/>
                <w:bdr w:val="none" w:color="auto" w:sz="0" w:space="0"/>
                <w:lang w:val="en-US" w:bidi="ar"/>
              </w:rPr>
            </w:pPr>
            <w:r>
              <w:rPr>
                <w:rFonts w:hint="eastAsia" w:ascii="仿宋" w:hAnsi="仿宋" w:eastAsia="仿宋" w:cs="仿宋"/>
                <w:color w:val="000000"/>
                <w:kern w:val="0"/>
                <w:sz w:val="21"/>
                <w:szCs w:val="21"/>
                <w:bdr w:val="none" w:color="auto" w:sz="0" w:space="0"/>
                <w:lang w:val="en-US" w:eastAsia="zh-CN" w:bidi="ar"/>
              </w:rPr>
              <w:t>围场县：个别农户未办理《慢性病证》。</w:t>
            </w:r>
          </w:p>
        </w:tc>
        <w:tc>
          <w:tcPr>
            <w:tcW w:w="3090"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102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80" w:type="dxa"/>
            <w:vMerge w:val="continue"/>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c>
          <w:tcPr>
            <w:tcW w:w="794" w:type="dxa"/>
            <w:vMerge w:val="continue"/>
            <w:tcBorders>
              <w:top w:val="nil"/>
              <w:left w:val="nil"/>
              <w:bottom w:val="single" w:color="auto" w:sz="4" w:space="0"/>
              <w:right w:val="single" w:color="000000" w:sz="8" w:space="0"/>
            </w:tcBorders>
            <w:shd w:val="clear"/>
            <w:tcMar>
              <w:top w:w="15" w:type="dxa"/>
              <w:left w:w="15" w:type="dxa"/>
              <w:right w:w="15" w:type="dxa"/>
            </w:tcMar>
            <w:vAlign w:val="center"/>
          </w:tcPr>
          <w:p>
            <w:pPr>
              <w:rPr>
                <w:rFonts w:hint="default" w:ascii="Times New Roman" w:hAnsi="Times New Roman" w:cs="Times New Roman"/>
                <w:sz w:val="20"/>
                <w:szCs w:val="20"/>
              </w:rPr>
            </w:pPr>
          </w:p>
        </w:tc>
      </w:tr>
    </w:tbl>
    <w:p>
      <w:bookmarkStart w:id="1" w:name="_GoBack"/>
      <w:bookmarkEnd w:id="1"/>
    </w:p>
    <w:sectPr>
      <w:pgSz w:w="16838" w:h="11906" w:orient="landscape"/>
      <w:pgMar w:top="1702" w:right="1247" w:bottom="1702" w:left="1247" w:header="851" w:footer="992" w:gutter="0"/>
      <w:paperSrc/>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B6DAB"/>
    <w:multiLevelType w:val="multilevel"/>
    <w:tmpl w:val="3CFB6DA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12626"/>
    <w:rsid w:val="3431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2019-12-09T02:06:00Z</dcterms:created>
  <dc:creator>AI</dc:creator>
  <cp:lastModifiedBy>AI</cp:lastModifiedBy>
  <dcterms:modified xsi:type="dcterms:W3CDTF">2019-12-09T02:16:50Z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