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单位项目预算安排情况及</w:t>
      </w:r>
      <w:r>
        <w:t>绩效目标</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5</w:t>
      </w:r>
      <w:bookmarkStart w:id="1" w:name="_GoBack"/>
      <w:bookmarkEnd w:id="1"/>
    </w:p>
    <w:p>
      <w:pPr>
        <w:pStyle w:val="2"/>
        <w:tabs>
          <w:tab w:val="right" w:leader="dot" w:pos="14562"/>
        </w:tabs>
        <w:rPr>
          <w:rFonts w:hint="eastAsia" w:eastAsia="方正仿宋_GBK"/>
          <w:lang w:val="en-US" w:eastAsia="zh-CN"/>
        </w:rPr>
      </w:pP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一、承德市医疗保障局本级收支预算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447001承德市医疗保障局本级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1186.79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72.96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3002.59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1186.79</w:t>
            </w:r>
          </w:p>
        </w:tc>
        <w:tc>
          <w:tcPr>
            <w:tcW w:w="4535" w:type="dxa"/>
            <w:vAlign w:val="center"/>
          </w:tcPr>
          <w:p>
            <w:pPr>
              <w:pStyle w:val="14"/>
            </w:pPr>
            <w:r>
              <w:t>本年支出合计</w:t>
            </w:r>
          </w:p>
        </w:tc>
        <w:tc>
          <w:tcPr>
            <w:tcW w:w="2126" w:type="dxa"/>
            <w:vAlign w:val="center"/>
          </w:tcPr>
          <w:p>
            <w:pPr>
              <w:pStyle w:val="15"/>
            </w:pPr>
            <w:r>
              <w:t>3126.21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1939.42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3126.21</w:t>
            </w:r>
          </w:p>
        </w:tc>
        <w:tc>
          <w:tcPr>
            <w:tcW w:w="4535" w:type="dxa"/>
            <w:vAlign w:val="center"/>
          </w:tcPr>
          <w:p>
            <w:pPr>
              <w:pStyle w:val="14"/>
            </w:pPr>
            <w:r>
              <w:t>支出总计</w:t>
            </w:r>
          </w:p>
        </w:tc>
        <w:tc>
          <w:tcPr>
            <w:tcW w:w="2126" w:type="dxa"/>
            <w:vAlign w:val="center"/>
          </w:tcPr>
          <w:p>
            <w:pPr>
              <w:pStyle w:val="15"/>
            </w:pPr>
            <w:r>
              <w:t>3126.21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447001承德市医疗保障局本级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3126.21</w:t>
            </w:r>
          </w:p>
        </w:tc>
        <w:tc>
          <w:tcPr>
            <w:tcW w:w="1134" w:type="dxa"/>
            <w:vAlign w:val="center"/>
          </w:tcPr>
          <w:p>
            <w:pPr>
              <w:pStyle w:val="15"/>
            </w:pPr>
            <w:r>
              <w:t>1186.79</w:t>
            </w:r>
          </w:p>
        </w:tc>
        <w:tc>
          <w:tcPr>
            <w:tcW w:w="1134" w:type="dxa"/>
            <w:vAlign w:val="center"/>
          </w:tcPr>
          <w:p>
            <w:pPr>
              <w:pStyle w:val="15"/>
            </w:pPr>
            <w:r>
              <w:t>1186.79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1939.42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72.96</w:t>
            </w:r>
          </w:p>
        </w:tc>
        <w:tc>
          <w:tcPr>
            <w:tcW w:w="1134" w:type="dxa"/>
            <w:vAlign w:val="center"/>
          </w:tcPr>
          <w:p>
            <w:pPr>
              <w:pStyle w:val="11"/>
            </w:pPr>
            <w:r>
              <w:t>72.96</w:t>
            </w:r>
          </w:p>
        </w:tc>
        <w:tc>
          <w:tcPr>
            <w:tcW w:w="1134" w:type="dxa"/>
            <w:vAlign w:val="center"/>
          </w:tcPr>
          <w:p>
            <w:pPr>
              <w:pStyle w:val="11"/>
            </w:pPr>
            <w:r>
              <w:t>72.96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72.96</w:t>
            </w:r>
          </w:p>
        </w:tc>
        <w:tc>
          <w:tcPr>
            <w:tcW w:w="1134" w:type="dxa"/>
            <w:vAlign w:val="center"/>
          </w:tcPr>
          <w:p>
            <w:pPr>
              <w:pStyle w:val="11"/>
            </w:pPr>
            <w:r>
              <w:t>72.96</w:t>
            </w:r>
          </w:p>
        </w:tc>
        <w:tc>
          <w:tcPr>
            <w:tcW w:w="1134" w:type="dxa"/>
            <w:vAlign w:val="center"/>
          </w:tcPr>
          <w:p>
            <w:pPr>
              <w:pStyle w:val="11"/>
            </w:pPr>
            <w:r>
              <w:t>72.96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9.64</w:t>
            </w:r>
          </w:p>
        </w:tc>
        <w:tc>
          <w:tcPr>
            <w:tcW w:w="1134" w:type="dxa"/>
            <w:vAlign w:val="center"/>
          </w:tcPr>
          <w:p>
            <w:pPr>
              <w:pStyle w:val="11"/>
            </w:pPr>
            <w:r>
              <w:t>9.64</w:t>
            </w:r>
          </w:p>
        </w:tc>
        <w:tc>
          <w:tcPr>
            <w:tcW w:w="1134" w:type="dxa"/>
            <w:vAlign w:val="center"/>
          </w:tcPr>
          <w:p>
            <w:pPr>
              <w:pStyle w:val="11"/>
            </w:pPr>
            <w:r>
              <w:t>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63.32</w:t>
            </w:r>
          </w:p>
        </w:tc>
        <w:tc>
          <w:tcPr>
            <w:tcW w:w="1134" w:type="dxa"/>
            <w:vAlign w:val="center"/>
          </w:tcPr>
          <w:p>
            <w:pPr>
              <w:pStyle w:val="11"/>
            </w:pPr>
            <w:r>
              <w:t>63.32</w:t>
            </w:r>
          </w:p>
        </w:tc>
        <w:tc>
          <w:tcPr>
            <w:tcW w:w="1134" w:type="dxa"/>
            <w:vAlign w:val="center"/>
          </w:tcPr>
          <w:p>
            <w:pPr>
              <w:pStyle w:val="11"/>
            </w:pPr>
            <w:r>
              <w:t>63.32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3002.59</w:t>
            </w:r>
          </w:p>
        </w:tc>
        <w:tc>
          <w:tcPr>
            <w:tcW w:w="1134" w:type="dxa"/>
            <w:vAlign w:val="center"/>
          </w:tcPr>
          <w:p>
            <w:pPr>
              <w:pStyle w:val="11"/>
            </w:pPr>
            <w:r>
              <w:t>1063.17</w:t>
            </w:r>
          </w:p>
        </w:tc>
        <w:tc>
          <w:tcPr>
            <w:tcW w:w="1134" w:type="dxa"/>
            <w:vAlign w:val="center"/>
          </w:tcPr>
          <w:p>
            <w:pPr>
              <w:pStyle w:val="11"/>
            </w:pPr>
            <w:r>
              <w:t>1063.17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1939.42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29.55</w:t>
            </w:r>
          </w:p>
        </w:tc>
        <w:tc>
          <w:tcPr>
            <w:tcW w:w="1134" w:type="dxa"/>
            <w:vAlign w:val="center"/>
          </w:tcPr>
          <w:p>
            <w:pPr>
              <w:pStyle w:val="11"/>
            </w:pPr>
            <w:r>
              <w:t>29.55</w:t>
            </w:r>
          </w:p>
        </w:tc>
        <w:tc>
          <w:tcPr>
            <w:tcW w:w="1134" w:type="dxa"/>
            <w:vAlign w:val="center"/>
          </w:tcPr>
          <w:p>
            <w:pPr>
              <w:pStyle w:val="11"/>
            </w:pPr>
            <w:r>
              <w:t>29.55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26.13</w:t>
            </w:r>
          </w:p>
        </w:tc>
        <w:tc>
          <w:tcPr>
            <w:tcW w:w="1134" w:type="dxa"/>
            <w:vAlign w:val="center"/>
          </w:tcPr>
          <w:p>
            <w:pPr>
              <w:pStyle w:val="11"/>
            </w:pPr>
            <w:r>
              <w:t>26.13</w:t>
            </w:r>
          </w:p>
        </w:tc>
        <w:tc>
          <w:tcPr>
            <w:tcW w:w="1134" w:type="dxa"/>
            <w:vAlign w:val="center"/>
          </w:tcPr>
          <w:p>
            <w:pPr>
              <w:pStyle w:val="11"/>
            </w:pPr>
            <w:r>
              <w:t>26.13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3.42</w:t>
            </w:r>
          </w:p>
        </w:tc>
        <w:tc>
          <w:tcPr>
            <w:tcW w:w="1134" w:type="dxa"/>
            <w:vAlign w:val="center"/>
          </w:tcPr>
          <w:p>
            <w:pPr>
              <w:pStyle w:val="11"/>
            </w:pPr>
            <w:r>
              <w:t>3.42</w:t>
            </w:r>
          </w:p>
        </w:tc>
        <w:tc>
          <w:tcPr>
            <w:tcW w:w="1134" w:type="dxa"/>
            <w:vAlign w:val="center"/>
          </w:tcPr>
          <w:p>
            <w:pPr>
              <w:pStyle w:val="11"/>
            </w:pPr>
            <w:r>
              <w:t>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pPr>
            <w:r>
              <w:t>1517.00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1"/>
            </w:pPr>
            <w:r>
              <w:t>1517.00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1456.04</w:t>
            </w:r>
          </w:p>
        </w:tc>
        <w:tc>
          <w:tcPr>
            <w:tcW w:w="1134" w:type="dxa"/>
            <w:vAlign w:val="center"/>
          </w:tcPr>
          <w:p>
            <w:pPr>
              <w:pStyle w:val="11"/>
            </w:pPr>
            <w:r>
              <w:t>1033.62</w:t>
            </w:r>
          </w:p>
        </w:tc>
        <w:tc>
          <w:tcPr>
            <w:tcW w:w="1134" w:type="dxa"/>
            <w:vAlign w:val="center"/>
          </w:tcPr>
          <w:p>
            <w:pPr>
              <w:pStyle w:val="11"/>
            </w:pPr>
            <w:r>
              <w:t>1033.62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957.62</w:t>
            </w:r>
          </w:p>
        </w:tc>
        <w:tc>
          <w:tcPr>
            <w:tcW w:w="1134" w:type="dxa"/>
            <w:vAlign w:val="center"/>
          </w:tcPr>
          <w:p>
            <w:pPr>
              <w:pStyle w:val="11"/>
            </w:pPr>
            <w:r>
              <w:t>957.62</w:t>
            </w:r>
          </w:p>
        </w:tc>
        <w:tc>
          <w:tcPr>
            <w:tcW w:w="1134" w:type="dxa"/>
            <w:vAlign w:val="center"/>
          </w:tcPr>
          <w:p>
            <w:pPr>
              <w:pStyle w:val="11"/>
            </w:pPr>
            <w:r>
              <w:t>957.62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498.25</w:t>
            </w:r>
          </w:p>
        </w:tc>
        <w:tc>
          <w:tcPr>
            <w:tcW w:w="1134" w:type="dxa"/>
            <w:vAlign w:val="center"/>
          </w:tcPr>
          <w:p>
            <w:pPr>
              <w:pStyle w:val="11"/>
            </w:pPr>
            <w:r>
              <w:t>76.00</w:t>
            </w:r>
          </w:p>
        </w:tc>
        <w:tc>
          <w:tcPr>
            <w:tcW w:w="1134" w:type="dxa"/>
            <w:vAlign w:val="center"/>
          </w:tcPr>
          <w:p>
            <w:pPr>
              <w:pStyle w:val="11"/>
            </w:pPr>
            <w:r>
              <w:t>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2101599</w:t>
            </w:r>
          </w:p>
        </w:tc>
        <w:tc>
          <w:tcPr>
            <w:tcW w:w="1559" w:type="dxa"/>
            <w:vAlign w:val="center"/>
          </w:tcPr>
          <w:p>
            <w:pPr>
              <w:pStyle w:val="12"/>
            </w:pPr>
            <w:r>
              <w:t>其他医疗保障管理事务支出</w:t>
            </w:r>
          </w:p>
        </w:tc>
        <w:tc>
          <w:tcPr>
            <w:tcW w:w="1134" w:type="dxa"/>
            <w:vAlign w:val="center"/>
          </w:tcPr>
          <w:p>
            <w:pPr>
              <w:pStyle w:val="11"/>
            </w:pPr>
            <w:r>
              <w:t>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50.66</w:t>
            </w:r>
          </w:p>
        </w:tc>
        <w:tc>
          <w:tcPr>
            <w:tcW w:w="1134" w:type="dxa"/>
            <w:vAlign w:val="center"/>
          </w:tcPr>
          <w:p>
            <w:pPr>
              <w:pStyle w:val="11"/>
            </w:pPr>
            <w:r>
              <w:t>50.66</w:t>
            </w:r>
          </w:p>
        </w:tc>
        <w:tc>
          <w:tcPr>
            <w:tcW w:w="1134" w:type="dxa"/>
            <w:vAlign w:val="center"/>
          </w:tcPr>
          <w:p>
            <w:pPr>
              <w:pStyle w:val="11"/>
            </w:pPr>
            <w:r>
              <w:t>50.66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50.66</w:t>
            </w:r>
          </w:p>
        </w:tc>
        <w:tc>
          <w:tcPr>
            <w:tcW w:w="1134" w:type="dxa"/>
            <w:vAlign w:val="center"/>
          </w:tcPr>
          <w:p>
            <w:pPr>
              <w:pStyle w:val="11"/>
            </w:pPr>
            <w:r>
              <w:t>50.66</w:t>
            </w:r>
          </w:p>
        </w:tc>
        <w:tc>
          <w:tcPr>
            <w:tcW w:w="1134" w:type="dxa"/>
            <w:vAlign w:val="center"/>
          </w:tcPr>
          <w:p>
            <w:pPr>
              <w:pStyle w:val="11"/>
            </w:pPr>
            <w:r>
              <w:t>50.66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50.66</w:t>
            </w:r>
          </w:p>
        </w:tc>
        <w:tc>
          <w:tcPr>
            <w:tcW w:w="1134" w:type="dxa"/>
            <w:vAlign w:val="center"/>
          </w:tcPr>
          <w:p>
            <w:pPr>
              <w:pStyle w:val="11"/>
            </w:pPr>
            <w:r>
              <w:t>50.66</w:t>
            </w:r>
          </w:p>
        </w:tc>
        <w:tc>
          <w:tcPr>
            <w:tcW w:w="1134" w:type="dxa"/>
            <w:vAlign w:val="center"/>
          </w:tcPr>
          <w:p>
            <w:pPr>
              <w:pStyle w:val="11"/>
            </w:pPr>
            <w:r>
              <w:t>50.66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447001承德市医疗保障局本级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3126.21</w:t>
            </w:r>
          </w:p>
        </w:tc>
        <w:tc>
          <w:tcPr>
            <w:tcW w:w="1361" w:type="dxa"/>
            <w:vAlign w:val="center"/>
          </w:tcPr>
          <w:p>
            <w:pPr>
              <w:pStyle w:val="15"/>
            </w:pPr>
            <w:r>
              <w:t>708.79</w:t>
            </w:r>
          </w:p>
        </w:tc>
        <w:tc>
          <w:tcPr>
            <w:tcW w:w="1361" w:type="dxa"/>
            <w:vAlign w:val="center"/>
          </w:tcPr>
          <w:p>
            <w:pPr>
              <w:pStyle w:val="15"/>
            </w:pPr>
            <w:r>
              <w:t>2417.42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72.96</w:t>
            </w:r>
          </w:p>
        </w:tc>
        <w:tc>
          <w:tcPr>
            <w:tcW w:w="1361" w:type="dxa"/>
            <w:vAlign w:val="center"/>
          </w:tcPr>
          <w:p>
            <w:pPr>
              <w:pStyle w:val="11"/>
            </w:pPr>
            <w:r>
              <w:t>72.96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72.96</w:t>
            </w:r>
          </w:p>
        </w:tc>
        <w:tc>
          <w:tcPr>
            <w:tcW w:w="1361" w:type="dxa"/>
            <w:vAlign w:val="center"/>
          </w:tcPr>
          <w:p>
            <w:pPr>
              <w:pStyle w:val="11"/>
            </w:pPr>
            <w:r>
              <w:t>72.96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9.64</w:t>
            </w:r>
          </w:p>
        </w:tc>
        <w:tc>
          <w:tcPr>
            <w:tcW w:w="1361" w:type="dxa"/>
            <w:vAlign w:val="center"/>
          </w:tcPr>
          <w:p>
            <w:pPr>
              <w:pStyle w:val="11"/>
            </w:pPr>
            <w:r>
              <w:t>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63.32</w:t>
            </w:r>
          </w:p>
        </w:tc>
        <w:tc>
          <w:tcPr>
            <w:tcW w:w="1361" w:type="dxa"/>
            <w:vAlign w:val="center"/>
          </w:tcPr>
          <w:p>
            <w:pPr>
              <w:pStyle w:val="11"/>
            </w:pPr>
            <w:r>
              <w:t>63.32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3002.59</w:t>
            </w:r>
          </w:p>
        </w:tc>
        <w:tc>
          <w:tcPr>
            <w:tcW w:w="1361" w:type="dxa"/>
            <w:vAlign w:val="center"/>
          </w:tcPr>
          <w:p>
            <w:pPr>
              <w:pStyle w:val="11"/>
            </w:pPr>
            <w:r>
              <w:t>585.17</w:t>
            </w:r>
          </w:p>
        </w:tc>
        <w:tc>
          <w:tcPr>
            <w:tcW w:w="1361" w:type="dxa"/>
            <w:vAlign w:val="center"/>
          </w:tcPr>
          <w:p>
            <w:pPr>
              <w:pStyle w:val="11"/>
            </w:pPr>
            <w:r>
              <w:t>2417.42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29.55</w:t>
            </w:r>
          </w:p>
        </w:tc>
        <w:tc>
          <w:tcPr>
            <w:tcW w:w="1361" w:type="dxa"/>
            <w:vAlign w:val="center"/>
          </w:tcPr>
          <w:p>
            <w:pPr>
              <w:pStyle w:val="11"/>
            </w:pPr>
            <w:r>
              <w:t>29.55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26.13</w:t>
            </w:r>
          </w:p>
        </w:tc>
        <w:tc>
          <w:tcPr>
            <w:tcW w:w="1361" w:type="dxa"/>
            <w:vAlign w:val="center"/>
          </w:tcPr>
          <w:p>
            <w:pPr>
              <w:pStyle w:val="11"/>
            </w:pPr>
            <w:r>
              <w:t>26.13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3.42</w:t>
            </w:r>
          </w:p>
        </w:tc>
        <w:tc>
          <w:tcPr>
            <w:tcW w:w="1361" w:type="dxa"/>
            <w:vAlign w:val="center"/>
          </w:tcPr>
          <w:p>
            <w:pPr>
              <w:pStyle w:val="11"/>
            </w:pPr>
            <w:r>
              <w:t>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1"/>
            </w:pPr>
            <w:r>
              <w:t>1517.00</w:t>
            </w:r>
          </w:p>
        </w:tc>
        <w:tc>
          <w:tcPr>
            <w:tcW w:w="1361" w:type="dxa"/>
            <w:vAlign w:val="center"/>
          </w:tcPr>
          <w:p>
            <w:pPr>
              <w:pStyle w:val="11"/>
            </w:pPr>
          </w:p>
        </w:tc>
        <w:tc>
          <w:tcPr>
            <w:tcW w:w="1361" w:type="dxa"/>
            <w:vAlign w:val="center"/>
          </w:tcPr>
          <w:p>
            <w:pPr>
              <w:pStyle w:val="11"/>
            </w:pPr>
            <w:r>
              <w:t>1517.00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2101301</w:t>
            </w:r>
          </w:p>
        </w:tc>
        <w:tc>
          <w:tcPr>
            <w:tcW w:w="4535" w:type="dxa"/>
            <w:vAlign w:val="center"/>
          </w:tcPr>
          <w:p>
            <w:pPr>
              <w:pStyle w:val="12"/>
            </w:pPr>
            <w:r>
              <w:t>城乡医疗救助</w:t>
            </w:r>
          </w:p>
        </w:tc>
        <w:tc>
          <w:tcPr>
            <w:tcW w:w="1361" w:type="dxa"/>
            <w:vAlign w:val="center"/>
          </w:tcPr>
          <w:p>
            <w:pPr>
              <w:pStyle w:val="11"/>
            </w:pPr>
            <w:r>
              <w:t>1517.00</w:t>
            </w:r>
          </w:p>
        </w:tc>
        <w:tc>
          <w:tcPr>
            <w:tcW w:w="1361" w:type="dxa"/>
            <w:vAlign w:val="center"/>
          </w:tcPr>
          <w:p>
            <w:pPr>
              <w:pStyle w:val="11"/>
            </w:pPr>
          </w:p>
        </w:tc>
        <w:tc>
          <w:tcPr>
            <w:tcW w:w="1361" w:type="dxa"/>
            <w:vAlign w:val="center"/>
          </w:tcPr>
          <w:p>
            <w:pPr>
              <w:pStyle w:val="11"/>
            </w:pPr>
            <w:r>
              <w:t>1517.00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1456.04</w:t>
            </w:r>
          </w:p>
        </w:tc>
        <w:tc>
          <w:tcPr>
            <w:tcW w:w="1361" w:type="dxa"/>
            <w:vAlign w:val="center"/>
          </w:tcPr>
          <w:p>
            <w:pPr>
              <w:pStyle w:val="11"/>
            </w:pPr>
            <w:r>
              <w:t>555.62</w:t>
            </w:r>
          </w:p>
        </w:tc>
        <w:tc>
          <w:tcPr>
            <w:tcW w:w="1361" w:type="dxa"/>
            <w:vAlign w:val="center"/>
          </w:tcPr>
          <w:p>
            <w:pPr>
              <w:pStyle w:val="11"/>
            </w:pPr>
            <w:r>
              <w:t>900.42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1"/>
            </w:pPr>
            <w:r>
              <w:t>957.62</w:t>
            </w:r>
          </w:p>
        </w:tc>
        <w:tc>
          <w:tcPr>
            <w:tcW w:w="1361" w:type="dxa"/>
            <w:vAlign w:val="center"/>
          </w:tcPr>
          <w:p>
            <w:pPr>
              <w:pStyle w:val="11"/>
            </w:pPr>
            <w:r>
              <w:t>555.62</w:t>
            </w:r>
          </w:p>
        </w:tc>
        <w:tc>
          <w:tcPr>
            <w:tcW w:w="1361" w:type="dxa"/>
            <w:vAlign w:val="center"/>
          </w:tcPr>
          <w:p>
            <w:pPr>
              <w:pStyle w:val="11"/>
            </w:pPr>
            <w:r>
              <w:t>402.00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2101502</w:t>
            </w:r>
          </w:p>
        </w:tc>
        <w:tc>
          <w:tcPr>
            <w:tcW w:w="4535" w:type="dxa"/>
            <w:vAlign w:val="center"/>
          </w:tcPr>
          <w:p>
            <w:pPr>
              <w:pStyle w:val="12"/>
            </w:pPr>
            <w:r>
              <w:t>一般行政管理事务</w:t>
            </w:r>
          </w:p>
        </w:tc>
        <w:tc>
          <w:tcPr>
            <w:tcW w:w="1361" w:type="dxa"/>
            <w:vAlign w:val="center"/>
          </w:tcPr>
          <w:p>
            <w:pPr>
              <w:pStyle w:val="11"/>
            </w:pPr>
            <w:r>
              <w:t>498.25</w:t>
            </w:r>
          </w:p>
        </w:tc>
        <w:tc>
          <w:tcPr>
            <w:tcW w:w="1361" w:type="dxa"/>
            <w:vAlign w:val="center"/>
          </w:tcPr>
          <w:p>
            <w:pPr>
              <w:pStyle w:val="11"/>
            </w:pPr>
          </w:p>
        </w:tc>
        <w:tc>
          <w:tcPr>
            <w:tcW w:w="1361" w:type="dxa"/>
            <w:vAlign w:val="center"/>
          </w:tcPr>
          <w:p>
            <w:pPr>
              <w:pStyle w:val="11"/>
            </w:pPr>
            <w:r>
              <w:t>498.25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2101599</w:t>
            </w:r>
          </w:p>
        </w:tc>
        <w:tc>
          <w:tcPr>
            <w:tcW w:w="4535" w:type="dxa"/>
            <w:vAlign w:val="center"/>
          </w:tcPr>
          <w:p>
            <w:pPr>
              <w:pStyle w:val="12"/>
            </w:pPr>
            <w:r>
              <w:t>其他医疗保障管理事务支出</w:t>
            </w:r>
          </w:p>
        </w:tc>
        <w:tc>
          <w:tcPr>
            <w:tcW w:w="1361" w:type="dxa"/>
            <w:vAlign w:val="center"/>
          </w:tcPr>
          <w:p>
            <w:pPr>
              <w:pStyle w:val="11"/>
            </w:pPr>
            <w:r>
              <w:t>0.17</w:t>
            </w:r>
          </w:p>
        </w:tc>
        <w:tc>
          <w:tcPr>
            <w:tcW w:w="1361" w:type="dxa"/>
            <w:vAlign w:val="center"/>
          </w:tcPr>
          <w:p>
            <w:pPr>
              <w:pStyle w:val="11"/>
            </w:pPr>
          </w:p>
        </w:tc>
        <w:tc>
          <w:tcPr>
            <w:tcW w:w="1361" w:type="dxa"/>
            <w:vAlign w:val="center"/>
          </w:tcPr>
          <w:p>
            <w:pPr>
              <w:pStyle w:val="11"/>
            </w:pPr>
            <w:r>
              <w:t>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50.66</w:t>
            </w:r>
          </w:p>
        </w:tc>
        <w:tc>
          <w:tcPr>
            <w:tcW w:w="1361" w:type="dxa"/>
            <w:vAlign w:val="center"/>
          </w:tcPr>
          <w:p>
            <w:pPr>
              <w:pStyle w:val="11"/>
            </w:pPr>
            <w:r>
              <w:t>50.66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50.66</w:t>
            </w:r>
          </w:p>
        </w:tc>
        <w:tc>
          <w:tcPr>
            <w:tcW w:w="1361" w:type="dxa"/>
            <w:vAlign w:val="center"/>
          </w:tcPr>
          <w:p>
            <w:pPr>
              <w:pStyle w:val="11"/>
            </w:pPr>
            <w:r>
              <w:t>50.66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50.66</w:t>
            </w:r>
          </w:p>
        </w:tc>
        <w:tc>
          <w:tcPr>
            <w:tcW w:w="1361" w:type="dxa"/>
            <w:vAlign w:val="center"/>
          </w:tcPr>
          <w:p>
            <w:pPr>
              <w:pStyle w:val="11"/>
            </w:pPr>
            <w:r>
              <w:t>50.66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447001承德市医疗保障局本级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1186.79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72.96</w:t>
            </w:r>
          </w:p>
        </w:tc>
        <w:tc>
          <w:tcPr>
            <w:tcW w:w="1474" w:type="dxa"/>
            <w:vAlign w:val="center"/>
          </w:tcPr>
          <w:p>
            <w:pPr>
              <w:pStyle w:val="11"/>
            </w:pPr>
            <w:r>
              <w:t>72.96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3002.59</w:t>
            </w:r>
          </w:p>
        </w:tc>
        <w:tc>
          <w:tcPr>
            <w:tcW w:w="1474" w:type="dxa"/>
            <w:vAlign w:val="center"/>
          </w:tcPr>
          <w:p>
            <w:pPr>
              <w:pStyle w:val="11"/>
            </w:pPr>
            <w:r>
              <w:t>3002.59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50.66</w:t>
            </w:r>
          </w:p>
        </w:tc>
        <w:tc>
          <w:tcPr>
            <w:tcW w:w="1474" w:type="dxa"/>
            <w:vAlign w:val="center"/>
          </w:tcPr>
          <w:p>
            <w:pPr>
              <w:pStyle w:val="11"/>
            </w:pPr>
            <w:r>
              <w:t>50.66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1186.79</w:t>
            </w:r>
          </w:p>
        </w:tc>
        <w:tc>
          <w:tcPr>
            <w:tcW w:w="3402" w:type="dxa"/>
            <w:vAlign w:val="center"/>
          </w:tcPr>
          <w:p>
            <w:pPr>
              <w:pStyle w:val="14"/>
            </w:pPr>
            <w:r>
              <w:t>本年支出合计</w:t>
            </w:r>
          </w:p>
        </w:tc>
        <w:tc>
          <w:tcPr>
            <w:tcW w:w="1474" w:type="dxa"/>
            <w:vAlign w:val="center"/>
          </w:tcPr>
          <w:p>
            <w:pPr>
              <w:pStyle w:val="15"/>
            </w:pPr>
            <w:r>
              <w:t>3126.21</w:t>
            </w:r>
          </w:p>
        </w:tc>
        <w:tc>
          <w:tcPr>
            <w:tcW w:w="1474" w:type="dxa"/>
            <w:vAlign w:val="center"/>
          </w:tcPr>
          <w:p>
            <w:pPr>
              <w:pStyle w:val="15"/>
            </w:pPr>
            <w:r>
              <w:t>3126.21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1939.42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1939.42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3126.21</w:t>
            </w:r>
          </w:p>
        </w:tc>
        <w:tc>
          <w:tcPr>
            <w:tcW w:w="3402" w:type="dxa"/>
            <w:vAlign w:val="center"/>
          </w:tcPr>
          <w:p>
            <w:pPr>
              <w:pStyle w:val="14"/>
            </w:pPr>
            <w:r>
              <w:t>支出总计</w:t>
            </w:r>
          </w:p>
        </w:tc>
        <w:tc>
          <w:tcPr>
            <w:tcW w:w="1474" w:type="dxa"/>
            <w:vAlign w:val="center"/>
          </w:tcPr>
          <w:p>
            <w:pPr>
              <w:pStyle w:val="15"/>
            </w:pPr>
            <w:r>
              <w:t>3126.21</w:t>
            </w:r>
          </w:p>
        </w:tc>
        <w:tc>
          <w:tcPr>
            <w:tcW w:w="1474" w:type="dxa"/>
            <w:vAlign w:val="center"/>
          </w:tcPr>
          <w:p>
            <w:pPr>
              <w:pStyle w:val="15"/>
            </w:pPr>
            <w:r>
              <w:t>3126.21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447001承德市医疗保障局本级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3126.21</w:t>
            </w:r>
          </w:p>
        </w:tc>
        <w:tc>
          <w:tcPr>
            <w:tcW w:w="2551" w:type="dxa"/>
            <w:vAlign w:val="center"/>
          </w:tcPr>
          <w:p>
            <w:pPr>
              <w:pStyle w:val="15"/>
            </w:pPr>
            <w:r>
              <w:t>708.79</w:t>
            </w:r>
          </w:p>
        </w:tc>
        <w:tc>
          <w:tcPr>
            <w:tcW w:w="2551" w:type="dxa"/>
            <w:vAlign w:val="center"/>
          </w:tcPr>
          <w:p>
            <w:pPr>
              <w:pStyle w:val="15"/>
            </w:pPr>
            <w:r>
              <w:t>2417.42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72.96</w:t>
            </w:r>
          </w:p>
        </w:tc>
        <w:tc>
          <w:tcPr>
            <w:tcW w:w="2551" w:type="dxa"/>
            <w:vAlign w:val="center"/>
          </w:tcPr>
          <w:p>
            <w:pPr>
              <w:pStyle w:val="11"/>
            </w:pPr>
            <w:r>
              <w:t>72.96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72.96</w:t>
            </w:r>
          </w:p>
        </w:tc>
        <w:tc>
          <w:tcPr>
            <w:tcW w:w="2551" w:type="dxa"/>
            <w:vAlign w:val="center"/>
          </w:tcPr>
          <w:p>
            <w:pPr>
              <w:pStyle w:val="11"/>
            </w:pPr>
            <w:r>
              <w:t>72.96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9.64</w:t>
            </w:r>
          </w:p>
        </w:tc>
        <w:tc>
          <w:tcPr>
            <w:tcW w:w="2551" w:type="dxa"/>
            <w:vAlign w:val="center"/>
          </w:tcPr>
          <w:p>
            <w:pPr>
              <w:pStyle w:val="11"/>
            </w:pPr>
            <w:r>
              <w:t>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63.32</w:t>
            </w:r>
          </w:p>
        </w:tc>
        <w:tc>
          <w:tcPr>
            <w:tcW w:w="2551" w:type="dxa"/>
            <w:vAlign w:val="center"/>
          </w:tcPr>
          <w:p>
            <w:pPr>
              <w:pStyle w:val="11"/>
            </w:pPr>
            <w:r>
              <w:t>63.32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3002.59</w:t>
            </w:r>
          </w:p>
        </w:tc>
        <w:tc>
          <w:tcPr>
            <w:tcW w:w="2551" w:type="dxa"/>
            <w:vAlign w:val="center"/>
          </w:tcPr>
          <w:p>
            <w:pPr>
              <w:pStyle w:val="11"/>
            </w:pPr>
            <w:r>
              <w:t>585.17</w:t>
            </w:r>
          </w:p>
        </w:tc>
        <w:tc>
          <w:tcPr>
            <w:tcW w:w="2551" w:type="dxa"/>
            <w:vAlign w:val="center"/>
          </w:tcPr>
          <w:p>
            <w:pPr>
              <w:pStyle w:val="11"/>
            </w:pPr>
            <w:r>
              <w:t>2417.42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29.55</w:t>
            </w:r>
          </w:p>
        </w:tc>
        <w:tc>
          <w:tcPr>
            <w:tcW w:w="2551" w:type="dxa"/>
            <w:vAlign w:val="center"/>
          </w:tcPr>
          <w:p>
            <w:pPr>
              <w:pStyle w:val="11"/>
            </w:pPr>
            <w:r>
              <w:t>29.55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26.13</w:t>
            </w:r>
          </w:p>
        </w:tc>
        <w:tc>
          <w:tcPr>
            <w:tcW w:w="2551" w:type="dxa"/>
            <w:vAlign w:val="center"/>
          </w:tcPr>
          <w:p>
            <w:pPr>
              <w:pStyle w:val="11"/>
            </w:pPr>
            <w:r>
              <w:t>26.13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3.42</w:t>
            </w:r>
          </w:p>
        </w:tc>
        <w:tc>
          <w:tcPr>
            <w:tcW w:w="2551" w:type="dxa"/>
            <w:vAlign w:val="center"/>
          </w:tcPr>
          <w:p>
            <w:pPr>
              <w:pStyle w:val="11"/>
            </w:pPr>
            <w:r>
              <w:t>3.42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1"/>
            </w:pPr>
            <w:r>
              <w:t>1517.00</w:t>
            </w:r>
          </w:p>
        </w:tc>
        <w:tc>
          <w:tcPr>
            <w:tcW w:w="2551" w:type="dxa"/>
            <w:vAlign w:val="center"/>
          </w:tcPr>
          <w:p>
            <w:pPr>
              <w:pStyle w:val="11"/>
            </w:pPr>
          </w:p>
        </w:tc>
        <w:tc>
          <w:tcPr>
            <w:tcW w:w="2551" w:type="dxa"/>
            <w:vAlign w:val="center"/>
          </w:tcPr>
          <w:p>
            <w:pPr>
              <w:pStyle w:val="11"/>
            </w:pPr>
            <w:r>
              <w:t>1517.00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2101301</w:t>
            </w:r>
          </w:p>
        </w:tc>
        <w:tc>
          <w:tcPr>
            <w:tcW w:w="4535" w:type="dxa"/>
            <w:vAlign w:val="center"/>
          </w:tcPr>
          <w:p>
            <w:pPr>
              <w:pStyle w:val="12"/>
            </w:pPr>
            <w:r>
              <w:t>城乡医疗救助</w:t>
            </w:r>
          </w:p>
        </w:tc>
        <w:tc>
          <w:tcPr>
            <w:tcW w:w="2551" w:type="dxa"/>
            <w:vAlign w:val="center"/>
          </w:tcPr>
          <w:p>
            <w:pPr>
              <w:pStyle w:val="11"/>
            </w:pPr>
            <w:r>
              <w:t>1517.00</w:t>
            </w:r>
          </w:p>
        </w:tc>
        <w:tc>
          <w:tcPr>
            <w:tcW w:w="2551" w:type="dxa"/>
            <w:vAlign w:val="center"/>
          </w:tcPr>
          <w:p>
            <w:pPr>
              <w:pStyle w:val="11"/>
            </w:pPr>
          </w:p>
        </w:tc>
        <w:tc>
          <w:tcPr>
            <w:tcW w:w="2551" w:type="dxa"/>
            <w:vAlign w:val="center"/>
          </w:tcPr>
          <w:p>
            <w:pPr>
              <w:pStyle w:val="11"/>
            </w:pPr>
            <w:r>
              <w:t>1517.00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1456.04</w:t>
            </w:r>
          </w:p>
        </w:tc>
        <w:tc>
          <w:tcPr>
            <w:tcW w:w="2551" w:type="dxa"/>
            <w:vAlign w:val="center"/>
          </w:tcPr>
          <w:p>
            <w:pPr>
              <w:pStyle w:val="11"/>
            </w:pPr>
            <w:r>
              <w:t>555.62</w:t>
            </w:r>
          </w:p>
        </w:tc>
        <w:tc>
          <w:tcPr>
            <w:tcW w:w="2551" w:type="dxa"/>
            <w:vAlign w:val="center"/>
          </w:tcPr>
          <w:p>
            <w:pPr>
              <w:pStyle w:val="11"/>
            </w:pPr>
            <w:r>
              <w:t>900.42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957.62</w:t>
            </w:r>
          </w:p>
        </w:tc>
        <w:tc>
          <w:tcPr>
            <w:tcW w:w="2551" w:type="dxa"/>
            <w:vAlign w:val="center"/>
          </w:tcPr>
          <w:p>
            <w:pPr>
              <w:pStyle w:val="11"/>
            </w:pPr>
            <w:r>
              <w:t>555.62</w:t>
            </w:r>
          </w:p>
        </w:tc>
        <w:tc>
          <w:tcPr>
            <w:tcW w:w="2551" w:type="dxa"/>
            <w:vAlign w:val="center"/>
          </w:tcPr>
          <w:p>
            <w:pPr>
              <w:pStyle w:val="11"/>
            </w:pPr>
            <w:r>
              <w:t>402.00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498.25</w:t>
            </w:r>
          </w:p>
        </w:tc>
        <w:tc>
          <w:tcPr>
            <w:tcW w:w="2551" w:type="dxa"/>
            <w:vAlign w:val="center"/>
          </w:tcPr>
          <w:p>
            <w:pPr>
              <w:pStyle w:val="11"/>
            </w:pPr>
          </w:p>
        </w:tc>
        <w:tc>
          <w:tcPr>
            <w:tcW w:w="2551" w:type="dxa"/>
            <w:vAlign w:val="center"/>
          </w:tcPr>
          <w:p>
            <w:pPr>
              <w:pStyle w:val="11"/>
            </w:pPr>
            <w:r>
              <w:t>498.25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2101599</w:t>
            </w:r>
          </w:p>
        </w:tc>
        <w:tc>
          <w:tcPr>
            <w:tcW w:w="4535" w:type="dxa"/>
            <w:vAlign w:val="center"/>
          </w:tcPr>
          <w:p>
            <w:pPr>
              <w:pStyle w:val="12"/>
            </w:pPr>
            <w:r>
              <w:t>其他医疗保障管理事务支出</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50.66</w:t>
            </w:r>
          </w:p>
        </w:tc>
        <w:tc>
          <w:tcPr>
            <w:tcW w:w="2551" w:type="dxa"/>
            <w:vAlign w:val="center"/>
          </w:tcPr>
          <w:p>
            <w:pPr>
              <w:pStyle w:val="11"/>
            </w:pPr>
            <w:r>
              <w:t>50.66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50.66</w:t>
            </w:r>
          </w:p>
        </w:tc>
        <w:tc>
          <w:tcPr>
            <w:tcW w:w="2551" w:type="dxa"/>
            <w:vAlign w:val="center"/>
          </w:tcPr>
          <w:p>
            <w:pPr>
              <w:pStyle w:val="11"/>
            </w:pPr>
            <w:r>
              <w:t>50.66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50.66</w:t>
            </w:r>
          </w:p>
        </w:tc>
        <w:tc>
          <w:tcPr>
            <w:tcW w:w="2551" w:type="dxa"/>
            <w:vAlign w:val="center"/>
          </w:tcPr>
          <w:p>
            <w:pPr>
              <w:pStyle w:val="11"/>
            </w:pPr>
            <w:r>
              <w:t>50.66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447001承德市医疗保障局本级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708.79</w:t>
            </w:r>
          </w:p>
        </w:tc>
        <w:tc>
          <w:tcPr>
            <w:tcW w:w="2551" w:type="dxa"/>
            <w:vAlign w:val="center"/>
          </w:tcPr>
          <w:p>
            <w:pPr>
              <w:pStyle w:val="15"/>
            </w:pPr>
            <w:r>
              <w:t>640.94</w:t>
            </w:r>
          </w:p>
        </w:tc>
        <w:tc>
          <w:tcPr>
            <w:tcW w:w="2551" w:type="dxa"/>
            <w:vAlign w:val="center"/>
          </w:tcPr>
          <w:p>
            <w:pPr>
              <w:pStyle w:val="15"/>
            </w:pPr>
            <w:r>
              <w:t>67.85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632.29</w:t>
            </w:r>
          </w:p>
        </w:tc>
        <w:tc>
          <w:tcPr>
            <w:tcW w:w="2551" w:type="dxa"/>
            <w:vAlign w:val="center"/>
          </w:tcPr>
          <w:p>
            <w:pPr>
              <w:pStyle w:val="11"/>
            </w:pPr>
            <w:r>
              <w:t>632.29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218.01</w:t>
            </w:r>
          </w:p>
        </w:tc>
        <w:tc>
          <w:tcPr>
            <w:tcW w:w="2551" w:type="dxa"/>
            <w:vAlign w:val="center"/>
          </w:tcPr>
          <w:p>
            <w:pPr>
              <w:pStyle w:val="11"/>
            </w:pPr>
            <w:r>
              <w:t>218.01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90.30</w:t>
            </w:r>
          </w:p>
        </w:tc>
        <w:tc>
          <w:tcPr>
            <w:tcW w:w="2551" w:type="dxa"/>
            <w:vAlign w:val="center"/>
          </w:tcPr>
          <w:p>
            <w:pPr>
              <w:pStyle w:val="11"/>
            </w:pPr>
            <w:r>
              <w:t>90.30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38.18</w:t>
            </w:r>
          </w:p>
        </w:tc>
        <w:tc>
          <w:tcPr>
            <w:tcW w:w="2551" w:type="dxa"/>
            <w:vAlign w:val="center"/>
          </w:tcPr>
          <w:p>
            <w:pPr>
              <w:pStyle w:val="11"/>
            </w:pPr>
            <w:r>
              <w:t>38.18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138.83</w:t>
            </w:r>
          </w:p>
        </w:tc>
        <w:tc>
          <w:tcPr>
            <w:tcW w:w="2551" w:type="dxa"/>
            <w:vAlign w:val="center"/>
          </w:tcPr>
          <w:p>
            <w:pPr>
              <w:pStyle w:val="11"/>
            </w:pPr>
            <w:r>
              <w:t>138.83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63.32</w:t>
            </w:r>
          </w:p>
        </w:tc>
        <w:tc>
          <w:tcPr>
            <w:tcW w:w="2551" w:type="dxa"/>
            <w:vAlign w:val="center"/>
          </w:tcPr>
          <w:p>
            <w:pPr>
              <w:pStyle w:val="11"/>
            </w:pPr>
            <w:r>
              <w:t>63.32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26.13</w:t>
            </w:r>
          </w:p>
        </w:tc>
        <w:tc>
          <w:tcPr>
            <w:tcW w:w="2551" w:type="dxa"/>
            <w:vAlign w:val="center"/>
          </w:tcPr>
          <w:p>
            <w:pPr>
              <w:pStyle w:val="11"/>
            </w:pPr>
            <w:r>
              <w:t>26.13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3.42</w:t>
            </w:r>
          </w:p>
        </w:tc>
        <w:tc>
          <w:tcPr>
            <w:tcW w:w="2551" w:type="dxa"/>
            <w:vAlign w:val="center"/>
          </w:tcPr>
          <w:p>
            <w:pPr>
              <w:pStyle w:val="11"/>
            </w:pPr>
            <w:r>
              <w:t>3.42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3.44</w:t>
            </w:r>
          </w:p>
        </w:tc>
        <w:tc>
          <w:tcPr>
            <w:tcW w:w="2551" w:type="dxa"/>
            <w:vAlign w:val="center"/>
          </w:tcPr>
          <w:p>
            <w:pPr>
              <w:pStyle w:val="11"/>
            </w:pPr>
            <w:r>
              <w:t>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50.66</w:t>
            </w:r>
          </w:p>
        </w:tc>
        <w:tc>
          <w:tcPr>
            <w:tcW w:w="2551" w:type="dxa"/>
            <w:vAlign w:val="center"/>
          </w:tcPr>
          <w:p>
            <w:pPr>
              <w:pStyle w:val="11"/>
            </w:pPr>
            <w:r>
              <w:t>50.66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67.85</w:t>
            </w:r>
          </w:p>
        </w:tc>
        <w:tc>
          <w:tcPr>
            <w:tcW w:w="2551" w:type="dxa"/>
            <w:vAlign w:val="center"/>
          </w:tcPr>
          <w:p>
            <w:pPr>
              <w:pStyle w:val="11"/>
            </w:pPr>
          </w:p>
        </w:tc>
        <w:tc>
          <w:tcPr>
            <w:tcW w:w="2551" w:type="dxa"/>
            <w:vAlign w:val="center"/>
          </w:tcPr>
          <w:p>
            <w:pPr>
              <w:pStyle w:val="11"/>
            </w:pPr>
            <w:r>
              <w:t>67.85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10.38</w:t>
            </w:r>
          </w:p>
        </w:tc>
        <w:tc>
          <w:tcPr>
            <w:tcW w:w="2551" w:type="dxa"/>
            <w:vAlign w:val="center"/>
          </w:tcPr>
          <w:p>
            <w:pPr>
              <w:pStyle w:val="11"/>
            </w:pPr>
          </w:p>
        </w:tc>
        <w:tc>
          <w:tcPr>
            <w:tcW w:w="2551" w:type="dxa"/>
            <w:vAlign w:val="center"/>
          </w:tcPr>
          <w:p>
            <w:pPr>
              <w:pStyle w:val="11"/>
            </w:pPr>
            <w:r>
              <w:t>10.38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15.64</w:t>
            </w:r>
          </w:p>
        </w:tc>
        <w:tc>
          <w:tcPr>
            <w:tcW w:w="2551" w:type="dxa"/>
            <w:vAlign w:val="center"/>
          </w:tcPr>
          <w:p>
            <w:pPr>
              <w:pStyle w:val="11"/>
            </w:pPr>
          </w:p>
        </w:tc>
        <w:tc>
          <w:tcPr>
            <w:tcW w:w="2551" w:type="dxa"/>
            <w:vAlign w:val="center"/>
          </w:tcPr>
          <w:p>
            <w:pPr>
              <w:pStyle w:val="11"/>
            </w:pPr>
            <w:r>
              <w:t>15.64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14.80</w:t>
            </w:r>
          </w:p>
        </w:tc>
        <w:tc>
          <w:tcPr>
            <w:tcW w:w="2551" w:type="dxa"/>
            <w:vAlign w:val="center"/>
          </w:tcPr>
          <w:p>
            <w:pPr>
              <w:pStyle w:val="11"/>
            </w:pPr>
          </w:p>
        </w:tc>
        <w:tc>
          <w:tcPr>
            <w:tcW w:w="2551" w:type="dxa"/>
            <w:vAlign w:val="center"/>
          </w:tcPr>
          <w:p>
            <w:pPr>
              <w:pStyle w:val="11"/>
            </w:pPr>
            <w:r>
              <w:t>14.80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4.10</w:t>
            </w:r>
          </w:p>
        </w:tc>
        <w:tc>
          <w:tcPr>
            <w:tcW w:w="2551" w:type="dxa"/>
            <w:vAlign w:val="center"/>
          </w:tcPr>
          <w:p>
            <w:pPr>
              <w:pStyle w:val="11"/>
            </w:pPr>
          </w:p>
        </w:tc>
        <w:tc>
          <w:tcPr>
            <w:tcW w:w="2551" w:type="dxa"/>
            <w:vAlign w:val="center"/>
          </w:tcPr>
          <w:p>
            <w:pPr>
              <w:pStyle w:val="11"/>
            </w:pPr>
            <w:r>
              <w:t>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4.82</w:t>
            </w:r>
          </w:p>
        </w:tc>
        <w:tc>
          <w:tcPr>
            <w:tcW w:w="2551" w:type="dxa"/>
            <w:vAlign w:val="center"/>
          </w:tcPr>
          <w:p>
            <w:pPr>
              <w:pStyle w:val="11"/>
            </w:pPr>
          </w:p>
        </w:tc>
        <w:tc>
          <w:tcPr>
            <w:tcW w:w="2551" w:type="dxa"/>
            <w:vAlign w:val="center"/>
          </w:tcPr>
          <w:p>
            <w:pPr>
              <w:pStyle w:val="11"/>
            </w:pPr>
            <w:r>
              <w:t>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14.48</w:t>
            </w:r>
          </w:p>
        </w:tc>
        <w:tc>
          <w:tcPr>
            <w:tcW w:w="2551" w:type="dxa"/>
            <w:vAlign w:val="center"/>
          </w:tcPr>
          <w:p>
            <w:pPr>
              <w:pStyle w:val="11"/>
            </w:pPr>
          </w:p>
        </w:tc>
        <w:tc>
          <w:tcPr>
            <w:tcW w:w="2551" w:type="dxa"/>
            <w:vAlign w:val="center"/>
          </w:tcPr>
          <w:p>
            <w:pPr>
              <w:pStyle w:val="11"/>
            </w:pPr>
            <w:r>
              <w:t>14.48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2.23</w:t>
            </w:r>
          </w:p>
        </w:tc>
        <w:tc>
          <w:tcPr>
            <w:tcW w:w="2551" w:type="dxa"/>
            <w:vAlign w:val="center"/>
          </w:tcPr>
          <w:p>
            <w:pPr>
              <w:pStyle w:val="11"/>
            </w:pPr>
          </w:p>
        </w:tc>
        <w:tc>
          <w:tcPr>
            <w:tcW w:w="2551" w:type="dxa"/>
            <w:vAlign w:val="center"/>
          </w:tcPr>
          <w:p>
            <w:pPr>
              <w:pStyle w:val="11"/>
            </w:pPr>
            <w:r>
              <w:t>2.23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8.65</w:t>
            </w:r>
          </w:p>
        </w:tc>
        <w:tc>
          <w:tcPr>
            <w:tcW w:w="2551" w:type="dxa"/>
            <w:vAlign w:val="center"/>
          </w:tcPr>
          <w:p>
            <w:pPr>
              <w:pStyle w:val="11"/>
            </w:pPr>
            <w:r>
              <w:t>8.65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8.65</w:t>
            </w:r>
          </w:p>
        </w:tc>
        <w:tc>
          <w:tcPr>
            <w:tcW w:w="2551" w:type="dxa"/>
            <w:vAlign w:val="center"/>
          </w:tcPr>
          <w:p>
            <w:pPr>
              <w:pStyle w:val="11"/>
            </w:pPr>
            <w:r>
              <w:t>8.65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447001承德市医疗保障局本级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447001承德市医疗保障局本级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447001承德市医疗保障局本级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1.40</w:t>
            </w:r>
          </w:p>
        </w:tc>
        <w:tc>
          <w:tcPr>
            <w:tcW w:w="2381" w:type="dxa"/>
            <w:vAlign w:val="center"/>
          </w:tcPr>
          <w:p>
            <w:pPr>
              <w:pStyle w:val="15"/>
            </w:pPr>
            <w:r>
              <w:t>1.40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承德市医疗保障局本级2025年单位预算信息公开情况说明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按照《中华人民共和国预算法》、《地方预决算公开操作规程》和《关于进一步推进预算公开工作的实施意见》规定，现将承德市医疗保障局本级2025年单位预算公开如下：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根据《承德市医疗保障局职能配置、内设机构和人员编制规定》，承德市医疗保障局的主要职责是：</w:t>
      </w:r>
    </w:p>
    <w:p>
      <w:pPr>
        <w:pStyle w:val="17"/>
      </w:pPr>
      <w:r>
        <w:t>（一）拟订全市城镇职工和城乡居民医疗保险、生育保险、大病保险、医疗救助等医疗保障政策、制度、规划和标准。</w:t>
      </w:r>
    </w:p>
    <w:p>
      <w:pPr>
        <w:pStyle w:val="17"/>
      </w:pPr>
      <w:r>
        <w:t>（二）拟订完善全市医疗保障基金监督管理办法，建立健全医疗保障基金安全防控机制，组织建设智能监控平台，推进医疗保障基金支付方式改革，并组织实施。</w:t>
      </w:r>
    </w:p>
    <w:p>
      <w:pPr>
        <w:pStyle w:val="17"/>
      </w:pPr>
      <w:r>
        <w:t>（三）组织制定全市城镇职工、城乡居民参保筹资和保障待遇政策，统筹城乡医疗保障政策标准，建立健全与筹资水平相适应的待遇调整机制。拟订全市长期护理保险制度方案及政策标准并组织实施。</w:t>
      </w:r>
    </w:p>
    <w:p>
      <w:pPr>
        <w:pStyle w:val="17"/>
      </w:pPr>
      <w:r>
        <w:t>（四）贯彻执行全省城乡统一的药品、医用耗材、医疗服务项目、医疗服务设施等医保目录，组织制定全市统一的药品、医用耗材、医疗服务项目、医疗服务设施的医保支付标准并组织实施，建立动态调整机制。</w:t>
      </w:r>
    </w:p>
    <w:p>
      <w:pPr>
        <w:pStyle w:val="17"/>
      </w:pPr>
      <w:r>
        <w:t>（五）贯彻落实省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7"/>
      </w:pPr>
      <w:r>
        <w:t>（六）贯彻落实省药品、医用耗材的招标采购政策并组织监督实施。</w:t>
      </w:r>
    </w:p>
    <w:p>
      <w:pPr>
        <w:pStyle w:val="17"/>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17"/>
      </w:pPr>
      <w:r>
        <w:t>（八）负责医疗保障经办管理、公共服务体系和信息化建设。落实和完善异地就医管理和费用结算政策并组织实施。建立健全医疗保障关系转移接续制度。</w:t>
      </w:r>
    </w:p>
    <w:p>
      <w:pPr>
        <w:pStyle w:val="17"/>
      </w:pPr>
      <w:r>
        <w:t>（九）完成市委、市政府交办的其他任务。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承德市医疗保障局本级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3126.21万元，其中：一般公共预算收入1186.79万元，基金预算收入0.00万元，国有资本经营预算收入0.00万元，财政专户核拨收入0.00万元，单位资金收入0.00万元，上年结转结余1939.42万元。</w:t>
      </w:r>
    </w:p>
    <w:p>
      <w:pPr>
        <w:pStyle w:val="18"/>
      </w:pPr>
      <w:r>
        <w:t>2、支出说明</w:t>
      </w:r>
    </w:p>
    <w:p>
      <w:pPr>
        <w:pStyle w:val="18"/>
      </w:pPr>
      <w:r>
        <w:t>收支预算总表支出栏、基本支出表、项目支出表按经济分类和支出功能分类科目编制，反映承德市医疗保障局本级年度单位预算中支出预算的总体情况。2025年支出预算3126.21万元，其中基本支出708.79万元，包括人员经费640.94万元和日常公用经费67.85万元；项目支出2417.42万元，主要为1、2024年度医保经办服务大厅运行经费项目:财政年初预算资金50万元</w:t>
      </w:r>
    </w:p>
    <w:p>
      <w:pPr>
        <w:pStyle w:val="18"/>
      </w:pPr>
      <w:r>
        <w:t>2、2024年度医疗保障管理和业务工作经费项目：财政年初预算安排资金23万元</w:t>
      </w:r>
    </w:p>
    <w:p>
      <w:pPr>
        <w:pStyle w:val="18"/>
      </w:pPr>
      <w:r>
        <w:t>3、2024年医保基金监管专项经费项目：财政年初预算安排资金3万元</w:t>
      </w:r>
    </w:p>
    <w:p>
      <w:pPr>
        <w:pStyle w:val="18"/>
      </w:pPr>
      <w:r>
        <w:t>4、困难群众基本生活补助1517万元</w:t>
      </w:r>
    </w:p>
    <w:p>
      <w:pPr>
        <w:pStyle w:val="18"/>
      </w:pPr>
      <w:r>
        <w:t>5、医疗服务与保障能力提升补助资金402万元</w:t>
      </w:r>
    </w:p>
    <w:p>
      <w:pPr>
        <w:pStyle w:val="18"/>
      </w:pPr>
      <w:r>
        <w:t>6、中央服务医疗保障能力提升416.18万元为上年度结转项目资金</w:t>
      </w:r>
    </w:p>
    <w:p>
      <w:pPr>
        <w:pStyle w:val="18"/>
      </w:pPr>
      <w:r>
        <w:t>7、医疗保障管理和业务工作经费6.24万元，为上年度结转项目资金</w:t>
      </w:r>
    </w:p>
    <w:p>
      <w:pPr>
        <w:pStyle w:val="18"/>
      </w:pPr>
      <w:r>
        <w:t>3、比上年增减情况</w:t>
      </w:r>
    </w:p>
    <w:p>
      <w:pPr>
        <w:pStyle w:val="18"/>
      </w:pPr>
      <w:r>
        <w:t>2025年预算收支安排3126.21万元，较2024年预算增加557.76万元，其中：基本支出增加52.34万元，主要为2025年预算基本支出708.79万元，上年度基本支出656.45万元，较上年增加52.34万元主要是因为人员工资增长项目支出增加505.42万元，主要为2025年上年结转项目资金共计422.42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2025年，我单位机关运行经费共计安排67.85万元，主要用于日常维修、办公用房水电费、办公用房取暖费、办公用房物业管理费等日常运行支出。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1.40万元，其中因公出国（境）费0.00万元；公务用车购置及运维费1.40万元（其中：公务用车购置费为0.00万元，公务用车运维费1.40万元)；公务接待费0.00万元。与2024年相比增加0.00万元，增减变化的主要原因是厉行财政勤俭节约的要求。</w:t>
      </w:r>
    </w:p>
    <w:p>
      <w:pPr>
        <w:pStyle w:val="20"/>
      </w:pPr>
      <w:r>
        <w:t>公务车辆公务车辆购置及保有情况：本年购置公务用车0辆，年末公务用车保有量2辆。</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1、医保局机关及医保经办服务大厅运行项目经费绩效目标表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13080025P0066JH10003E</w:t>
            </w:r>
          </w:p>
        </w:tc>
        <w:tc>
          <w:tcPr>
            <w:tcW w:w="2835" w:type="dxa"/>
            <w:vAlign w:val="center"/>
          </w:tcPr>
          <w:p>
            <w:pPr>
              <w:pStyle w:val="10"/>
            </w:pPr>
            <w:r>
              <w:t>项目名称</w:t>
            </w:r>
          </w:p>
        </w:tc>
        <w:tc>
          <w:tcPr>
            <w:tcW w:w="6095" w:type="dxa"/>
            <w:gridSpan w:val="3"/>
            <w:vAlign w:val="center"/>
          </w:tcPr>
          <w:p>
            <w:pPr>
              <w:pStyle w:val="12"/>
            </w:pPr>
            <w:r>
              <w:t>医保局机关及医保经办服务大厅运行项目经费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合理安排财政资金支出计划，遵循单位财务规章制度，在预算内按进度支出；保障机关正常运转服务于机关全年目标任务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1.合理安排财政资金支出计划，遵循单位财务规章制度，在预算内按进度支出；保障机关正常运转服务于机关全年目标任务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工作日保障单位医保业务正常运行</w:t>
            </w:r>
          </w:p>
        </w:tc>
        <w:tc>
          <w:tcPr>
            <w:tcW w:w="2268" w:type="dxa"/>
            <w:vAlign w:val="center"/>
          </w:tcPr>
          <w:p>
            <w:pPr>
              <w:pStyle w:val="12"/>
            </w:pPr>
            <w:r>
              <w:t>≥8小时</w:t>
            </w:r>
          </w:p>
        </w:tc>
        <w:tc>
          <w:tcPr>
            <w:tcW w:w="1276" w:type="dxa"/>
            <w:vAlign w:val="center"/>
          </w:tcPr>
          <w:p>
            <w:pPr>
              <w:pStyle w:val="12"/>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经费支出准确率</w:t>
            </w:r>
          </w:p>
        </w:tc>
        <w:tc>
          <w:tcPr>
            <w:tcW w:w="2268" w:type="dxa"/>
            <w:vAlign w:val="center"/>
          </w:tcPr>
          <w:p>
            <w:pPr>
              <w:pStyle w:val="12"/>
            </w:pPr>
            <w:r>
              <w:t>100%</w:t>
            </w:r>
          </w:p>
        </w:tc>
        <w:tc>
          <w:tcPr>
            <w:tcW w:w="1276" w:type="dxa"/>
            <w:vAlign w:val="center"/>
          </w:tcPr>
          <w:p>
            <w:pPr>
              <w:pStyle w:val="12"/>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2025年12月28日前完成全部资金支付工作</w:t>
            </w:r>
          </w:p>
        </w:tc>
        <w:tc>
          <w:tcPr>
            <w:tcW w:w="2268" w:type="dxa"/>
            <w:vAlign w:val="center"/>
          </w:tcPr>
          <w:p>
            <w:pPr>
              <w:pStyle w:val="12"/>
            </w:pPr>
            <w:r>
              <w:t>截止到2025年12月28日前</w:t>
            </w:r>
          </w:p>
        </w:tc>
        <w:tc>
          <w:tcPr>
            <w:tcW w:w="1276" w:type="dxa"/>
            <w:vAlign w:val="center"/>
          </w:tcPr>
          <w:p>
            <w:pPr>
              <w:pStyle w:val="12"/>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运行成本50万</w:t>
            </w:r>
          </w:p>
        </w:tc>
        <w:tc>
          <w:tcPr>
            <w:tcW w:w="5386" w:type="dxa"/>
            <w:vAlign w:val="center"/>
          </w:tcPr>
          <w:p>
            <w:pPr>
              <w:pStyle w:val="12"/>
            </w:pPr>
            <w:r>
              <w:t>维修水、电、暖、物业等运行成本50万元</w:t>
            </w:r>
          </w:p>
        </w:tc>
        <w:tc>
          <w:tcPr>
            <w:tcW w:w="2268" w:type="dxa"/>
            <w:vAlign w:val="center"/>
          </w:tcPr>
          <w:p>
            <w:pPr>
              <w:pStyle w:val="12"/>
            </w:pPr>
            <w:r>
              <w:t>≤50万元</w:t>
            </w:r>
          </w:p>
        </w:tc>
        <w:tc>
          <w:tcPr>
            <w:tcW w:w="1276" w:type="dxa"/>
            <w:vAlign w:val="center"/>
          </w:tcPr>
          <w:p>
            <w:pPr>
              <w:pStyle w:val="12"/>
            </w:pPr>
            <w:r>
              <w:t>固定行政人均标准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提升公共服务质量</w:t>
            </w:r>
          </w:p>
        </w:tc>
        <w:tc>
          <w:tcPr>
            <w:tcW w:w="5386" w:type="dxa"/>
            <w:vAlign w:val="center"/>
          </w:tcPr>
          <w:p>
            <w:pPr>
              <w:pStyle w:val="12"/>
            </w:pPr>
            <w:r>
              <w:t>保障单位正常办公运转，提升医保服务能力</w:t>
            </w:r>
          </w:p>
        </w:tc>
        <w:tc>
          <w:tcPr>
            <w:tcW w:w="2268" w:type="dxa"/>
            <w:vAlign w:val="center"/>
          </w:tcPr>
          <w:p>
            <w:pPr>
              <w:pStyle w:val="12"/>
            </w:pPr>
            <w:r>
              <w:t>较上年度增加10%</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基本公共服务水平保持率</w:t>
            </w:r>
          </w:p>
        </w:tc>
        <w:tc>
          <w:tcPr>
            <w:tcW w:w="5386" w:type="dxa"/>
            <w:vAlign w:val="center"/>
          </w:tcPr>
          <w:p>
            <w:pPr>
              <w:pStyle w:val="12"/>
            </w:pPr>
            <w:r>
              <w:t>提升医疗保障公共服务水平</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2、医疗保障管理和业务工作经费绩效目标表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13080024P00012710002R</w:t>
            </w:r>
          </w:p>
        </w:tc>
        <w:tc>
          <w:tcPr>
            <w:tcW w:w="2835" w:type="dxa"/>
            <w:vAlign w:val="center"/>
          </w:tcPr>
          <w:p>
            <w:pPr>
              <w:pStyle w:val="10"/>
            </w:pPr>
            <w:r>
              <w:t>项目名称</w:t>
            </w:r>
          </w:p>
        </w:tc>
        <w:tc>
          <w:tcPr>
            <w:tcW w:w="6095" w:type="dxa"/>
            <w:gridSpan w:val="3"/>
            <w:vAlign w:val="center"/>
          </w:tcPr>
          <w:p>
            <w:pPr>
              <w:pStyle w:val="12"/>
            </w:pPr>
            <w:r>
              <w:t>医疗保障管理和业务工作经费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6.24</w:t>
            </w:r>
          </w:p>
        </w:tc>
        <w:tc>
          <w:tcPr>
            <w:tcW w:w="2835" w:type="dxa"/>
            <w:vAlign w:val="center"/>
          </w:tcPr>
          <w:p>
            <w:pPr>
              <w:pStyle w:val="10"/>
            </w:pPr>
            <w:r>
              <w:t>其中：财政    资金</w:t>
            </w:r>
          </w:p>
        </w:tc>
        <w:tc>
          <w:tcPr>
            <w:tcW w:w="2551" w:type="dxa"/>
            <w:vAlign w:val="center"/>
          </w:tcPr>
          <w:p>
            <w:pPr>
              <w:pStyle w:val="12"/>
            </w:pPr>
            <w:r>
              <w:t>6.24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合理安排财政资金支出计划，遵循单位财务规章制度，在预算内按进度支出；保障机关正常运转，服务于机关全年目标任务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1.合理安排财政资金支出计划，遵循单位财务规章制度，在预算内按进度支出；保障机关正常运转，服务于机关全年目标任务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工作日保障单位医保业务正常运转</w:t>
            </w:r>
          </w:p>
        </w:tc>
        <w:tc>
          <w:tcPr>
            <w:tcW w:w="2268" w:type="dxa"/>
            <w:vAlign w:val="center"/>
          </w:tcPr>
          <w:p>
            <w:pPr>
              <w:pStyle w:val="12"/>
            </w:pPr>
            <w:r>
              <w:t>≥8小时</w:t>
            </w:r>
          </w:p>
        </w:tc>
        <w:tc>
          <w:tcPr>
            <w:tcW w:w="1276" w:type="dxa"/>
            <w:vAlign w:val="center"/>
          </w:tcPr>
          <w:p>
            <w:pPr>
              <w:pStyle w:val="12"/>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经费支出准确率</w:t>
            </w:r>
          </w:p>
        </w:tc>
        <w:tc>
          <w:tcPr>
            <w:tcW w:w="2268" w:type="dxa"/>
            <w:vAlign w:val="center"/>
          </w:tcPr>
          <w:p>
            <w:pPr>
              <w:pStyle w:val="12"/>
            </w:pPr>
            <w:r>
              <w:t>100%</w:t>
            </w:r>
          </w:p>
        </w:tc>
        <w:tc>
          <w:tcPr>
            <w:tcW w:w="1276" w:type="dxa"/>
            <w:vAlign w:val="center"/>
          </w:tcPr>
          <w:p>
            <w:pPr>
              <w:pStyle w:val="12"/>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w:t>
            </w:r>
          </w:p>
        </w:tc>
        <w:tc>
          <w:tcPr>
            <w:tcW w:w="5386" w:type="dxa"/>
            <w:vAlign w:val="center"/>
          </w:tcPr>
          <w:p>
            <w:pPr>
              <w:pStyle w:val="12"/>
            </w:pPr>
            <w:r>
              <w:t>2025年12月28日完成全部工作</w:t>
            </w:r>
          </w:p>
        </w:tc>
        <w:tc>
          <w:tcPr>
            <w:tcW w:w="2268" w:type="dxa"/>
            <w:vAlign w:val="center"/>
          </w:tcPr>
          <w:p>
            <w:pPr>
              <w:pStyle w:val="12"/>
            </w:pPr>
            <w:r>
              <w:t>截止2025年12月28日</w:t>
            </w:r>
          </w:p>
        </w:tc>
        <w:tc>
          <w:tcPr>
            <w:tcW w:w="1276" w:type="dxa"/>
            <w:vAlign w:val="center"/>
          </w:tcPr>
          <w:p>
            <w:pPr>
              <w:pStyle w:val="12"/>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补充日常公用经费支出</w:t>
            </w:r>
          </w:p>
        </w:tc>
        <w:tc>
          <w:tcPr>
            <w:tcW w:w="2268" w:type="dxa"/>
            <w:vAlign w:val="center"/>
          </w:tcPr>
          <w:p>
            <w:pPr>
              <w:pStyle w:val="12"/>
            </w:pPr>
            <w:r>
              <w:t>≤6.24万元</w:t>
            </w:r>
          </w:p>
        </w:tc>
        <w:tc>
          <w:tcPr>
            <w:tcW w:w="1276" w:type="dxa"/>
            <w:vAlign w:val="center"/>
          </w:tcPr>
          <w:p>
            <w:pPr>
              <w:pStyle w:val="12"/>
            </w:pPr>
            <w:r>
              <w:t>固定行政人均标准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提升公共服务质量</w:t>
            </w:r>
          </w:p>
        </w:tc>
        <w:tc>
          <w:tcPr>
            <w:tcW w:w="5386" w:type="dxa"/>
            <w:vAlign w:val="center"/>
          </w:tcPr>
          <w:p>
            <w:pPr>
              <w:pStyle w:val="12"/>
            </w:pPr>
            <w:r>
              <w:t>保障日常办公需要，维持单位正常运转</w:t>
            </w:r>
          </w:p>
        </w:tc>
        <w:tc>
          <w:tcPr>
            <w:tcW w:w="2268" w:type="dxa"/>
            <w:vAlign w:val="center"/>
          </w:tcPr>
          <w:p>
            <w:pPr>
              <w:pStyle w:val="12"/>
            </w:pPr>
            <w:r>
              <w:t>较上年度增加10%</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基本公共服务水平保持率</w:t>
            </w:r>
          </w:p>
        </w:tc>
        <w:tc>
          <w:tcPr>
            <w:tcW w:w="5386" w:type="dxa"/>
            <w:vAlign w:val="center"/>
          </w:tcPr>
          <w:p>
            <w:pPr>
              <w:pStyle w:val="12"/>
            </w:pPr>
            <w:r>
              <w:t>提升医疗保障公共服务水平</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3、医疗保障管理和业务工作经费绩效目标表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13080025P00R66H100025</w:t>
            </w:r>
          </w:p>
        </w:tc>
        <w:tc>
          <w:tcPr>
            <w:tcW w:w="2835" w:type="dxa"/>
            <w:vAlign w:val="center"/>
          </w:tcPr>
          <w:p>
            <w:pPr>
              <w:pStyle w:val="10"/>
            </w:pPr>
            <w:r>
              <w:t>项目名称</w:t>
            </w:r>
          </w:p>
        </w:tc>
        <w:tc>
          <w:tcPr>
            <w:tcW w:w="6095" w:type="dxa"/>
            <w:gridSpan w:val="3"/>
            <w:vAlign w:val="center"/>
          </w:tcPr>
          <w:p>
            <w:pPr>
              <w:pStyle w:val="12"/>
            </w:pPr>
            <w:r>
              <w:t>医疗保障管理和业务工作经费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w:t>
            </w:r>
          </w:p>
        </w:tc>
        <w:tc>
          <w:tcPr>
            <w:tcW w:w="2835" w:type="dxa"/>
            <w:vAlign w:val="center"/>
          </w:tcPr>
          <w:p>
            <w:pPr>
              <w:pStyle w:val="10"/>
            </w:pPr>
            <w:r>
              <w:t>其中：财政    资金</w:t>
            </w:r>
          </w:p>
        </w:tc>
        <w:tc>
          <w:tcPr>
            <w:tcW w:w="2551" w:type="dxa"/>
            <w:vAlign w:val="center"/>
          </w:tcPr>
          <w:p>
            <w:pPr>
              <w:pStyle w:val="12"/>
            </w:pPr>
            <w:r>
              <w:t>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合理安排财政资金支出计划，遵循单位财务规章制度，在预算内按进度支出；保障机关正常运转，服务于机关全年目标任务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1.合理安排财政资金支出计划，遵循单位财务规章制度，在预算内按进度支出；保障机关正常运转，服务于机关全年目标任务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工作日保障单位医保业务正常运行</w:t>
            </w:r>
          </w:p>
        </w:tc>
        <w:tc>
          <w:tcPr>
            <w:tcW w:w="2268" w:type="dxa"/>
            <w:vAlign w:val="center"/>
          </w:tcPr>
          <w:p>
            <w:pPr>
              <w:pStyle w:val="12"/>
            </w:pPr>
            <w:r>
              <w:t>≥8小时</w:t>
            </w:r>
          </w:p>
        </w:tc>
        <w:tc>
          <w:tcPr>
            <w:tcW w:w="1276" w:type="dxa"/>
            <w:vAlign w:val="center"/>
          </w:tcPr>
          <w:p>
            <w:pPr>
              <w:pStyle w:val="12"/>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经费支出准确率</w:t>
            </w:r>
          </w:p>
        </w:tc>
        <w:tc>
          <w:tcPr>
            <w:tcW w:w="2268" w:type="dxa"/>
            <w:vAlign w:val="center"/>
          </w:tcPr>
          <w:p>
            <w:pPr>
              <w:pStyle w:val="12"/>
            </w:pPr>
            <w:r>
              <w:t>100%</w:t>
            </w:r>
          </w:p>
        </w:tc>
        <w:tc>
          <w:tcPr>
            <w:tcW w:w="1276" w:type="dxa"/>
            <w:vAlign w:val="center"/>
          </w:tcPr>
          <w:p>
            <w:pPr>
              <w:pStyle w:val="12"/>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2025年12月28日前完成全部工作</w:t>
            </w:r>
          </w:p>
        </w:tc>
        <w:tc>
          <w:tcPr>
            <w:tcW w:w="2268" w:type="dxa"/>
            <w:vAlign w:val="center"/>
          </w:tcPr>
          <w:p>
            <w:pPr>
              <w:pStyle w:val="12"/>
            </w:pPr>
            <w:r>
              <w:t>截止到2025年12月28日前</w:t>
            </w:r>
          </w:p>
        </w:tc>
        <w:tc>
          <w:tcPr>
            <w:tcW w:w="1276" w:type="dxa"/>
            <w:vAlign w:val="center"/>
          </w:tcPr>
          <w:p>
            <w:pPr>
              <w:pStyle w:val="12"/>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补充日常公用经费支出</w:t>
            </w:r>
          </w:p>
        </w:tc>
        <w:tc>
          <w:tcPr>
            <w:tcW w:w="2268" w:type="dxa"/>
            <w:vAlign w:val="center"/>
          </w:tcPr>
          <w:p>
            <w:pPr>
              <w:pStyle w:val="12"/>
            </w:pPr>
            <w:r>
              <w:t>≤23万元</w:t>
            </w:r>
          </w:p>
        </w:tc>
        <w:tc>
          <w:tcPr>
            <w:tcW w:w="1276" w:type="dxa"/>
            <w:vAlign w:val="center"/>
          </w:tcPr>
          <w:p>
            <w:pPr>
              <w:pStyle w:val="12"/>
            </w:pPr>
            <w:r>
              <w:t>固定行政人均标准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提升公共服务质量</w:t>
            </w:r>
          </w:p>
        </w:tc>
        <w:tc>
          <w:tcPr>
            <w:tcW w:w="5386" w:type="dxa"/>
            <w:vAlign w:val="center"/>
          </w:tcPr>
          <w:p>
            <w:pPr>
              <w:pStyle w:val="12"/>
            </w:pPr>
            <w:r>
              <w:t>保障日常办公需要，维持单位正常运转</w:t>
            </w:r>
          </w:p>
        </w:tc>
        <w:tc>
          <w:tcPr>
            <w:tcW w:w="2268" w:type="dxa"/>
            <w:vAlign w:val="center"/>
          </w:tcPr>
          <w:p>
            <w:pPr>
              <w:pStyle w:val="12"/>
            </w:pPr>
            <w:r>
              <w:t>较上年度增加10%</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基本公共服务水平保持率</w:t>
            </w:r>
          </w:p>
        </w:tc>
        <w:tc>
          <w:tcPr>
            <w:tcW w:w="5386" w:type="dxa"/>
            <w:vAlign w:val="center"/>
          </w:tcPr>
          <w:p>
            <w:pPr>
              <w:pStyle w:val="12"/>
            </w:pPr>
            <w:r>
              <w:t>提升医疗保障公共服务水平</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4、2024年中央财政医疗服务与保障能力提升补助资金绩效目标表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13080024P00093210004R</w:t>
            </w:r>
          </w:p>
        </w:tc>
        <w:tc>
          <w:tcPr>
            <w:tcW w:w="2835" w:type="dxa"/>
            <w:vAlign w:val="center"/>
          </w:tcPr>
          <w:p>
            <w:pPr>
              <w:pStyle w:val="10"/>
            </w:pPr>
            <w:r>
              <w:t>项目名称</w:t>
            </w:r>
          </w:p>
        </w:tc>
        <w:tc>
          <w:tcPr>
            <w:tcW w:w="6095" w:type="dxa"/>
            <w:gridSpan w:val="3"/>
            <w:vAlign w:val="center"/>
          </w:tcPr>
          <w:p>
            <w:pPr>
              <w:pStyle w:val="12"/>
            </w:pPr>
            <w:r>
              <w:t>2024年中央财政医疗服务与保障能力提升补助资金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416.01</w:t>
            </w:r>
          </w:p>
        </w:tc>
        <w:tc>
          <w:tcPr>
            <w:tcW w:w="2835" w:type="dxa"/>
            <w:vAlign w:val="center"/>
          </w:tcPr>
          <w:p>
            <w:pPr>
              <w:pStyle w:val="10"/>
            </w:pPr>
            <w:r>
              <w:t>其中：财政    资金</w:t>
            </w:r>
          </w:p>
        </w:tc>
        <w:tc>
          <w:tcPr>
            <w:tcW w:w="2551" w:type="dxa"/>
            <w:vAlign w:val="center"/>
          </w:tcPr>
          <w:p>
            <w:pPr>
              <w:pStyle w:val="12"/>
            </w:pPr>
            <w:r>
              <w:t>416.01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主要用于医保信息化标准化系统维护，医保基金监管检查等方面工作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1.在2025年12月31日前支付416.0108万元，用于医保信息化标准化系统维护，医保基金监管检查等方面工作，达到国家统一医保信息平台正常运转和定点医保机构监督检查覆盖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医保信息平台子系统运维数量</w:t>
            </w:r>
          </w:p>
        </w:tc>
        <w:tc>
          <w:tcPr>
            <w:tcW w:w="5386" w:type="dxa"/>
            <w:vAlign w:val="center"/>
          </w:tcPr>
          <w:p>
            <w:pPr>
              <w:pStyle w:val="12"/>
            </w:pPr>
            <w:r>
              <w:t>医保信息平台子系统运维数量</w:t>
            </w:r>
          </w:p>
        </w:tc>
        <w:tc>
          <w:tcPr>
            <w:tcW w:w="2268" w:type="dxa"/>
            <w:vAlign w:val="center"/>
          </w:tcPr>
          <w:p>
            <w:pPr>
              <w:pStyle w:val="12"/>
            </w:pPr>
            <w:r>
              <w:t>≥18个</w:t>
            </w:r>
          </w:p>
        </w:tc>
        <w:tc>
          <w:tcPr>
            <w:tcW w:w="1276" w:type="dxa"/>
            <w:vAlign w:val="center"/>
          </w:tcPr>
          <w:p>
            <w:pPr>
              <w:pStyle w:val="12"/>
            </w:pPr>
            <w:r>
              <w:t>当前信息系统数量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专项检查次数</w:t>
            </w:r>
          </w:p>
        </w:tc>
        <w:tc>
          <w:tcPr>
            <w:tcW w:w="5386" w:type="dxa"/>
            <w:vAlign w:val="center"/>
          </w:tcPr>
          <w:p>
            <w:pPr>
              <w:pStyle w:val="12"/>
            </w:pPr>
            <w:r>
              <w:t>专项检查次数</w:t>
            </w:r>
          </w:p>
        </w:tc>
        <w:tc>
          <w:tcPr>
            <w:tcW w:w="2268" w:type="dxa"/>
            <w:vAlign w:val="center"/>
          </w:tcPr>
          <w:p>
            <w:pPr>
              <w:pStyle w:val="12"/>
            </w:pPr>
            <w:r>
              <w:t>≥1次</w:t>
            </w:r>
          </w:p>
        </w:tc>
        <w:tc>
          <w:tcPr>
            <w:tcW w:w="1276" w:type="dxa"/>
            <w:vAlign w:val="center"/>
          </w:tcPr>
          <w:p>
            <w:pPr>
              <w:pStyle w:val="12"/>
            </w:pPr>
            <w:r>
              <w:t>承财社（2024）53号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医保基金监管检查时间</w:t>
            </w:r>
          </w:p>
        </w:tc>
        <w:tc>
          <w:tcPr>
            <w:tcW w:w="5386" w:type="dxa"/>
            <w:vAlign w:val="center"/>
          </w:tcPr>
          <w:p>
            <w:pPr>
              <w:pStyle w:val="12"/>
            </w:pPr>
            <w:r>
              <w:t>医保基金监管检查时间</w:t>
            </w:r>
          </w:p>
        </w:tc>
        <w:tc>
          <w:tcPr>
            <w:tcW w:w="2268" w:type="dxa"/>
            <w:vAlign w:val="center"/>
          </w:tcPr>
          <w:p>
            <w:pPr>
              <w:pStyle w:val="12"/>
            </w:pPr>
            <w:r>
              <w:t>在2025年12月31日前</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医保信息系统重大安全事件响应时间</w:t>
            </w:r>
          </w:p>
        </w:tc>
        <w:tc>
          <w:tcPr>
            <w:tcW w:w="5386" w:type="dxa"/>
            <w:vAlign w:val="center"/>
          </w:tcPr>
          <w:p>
            <w:pPr>
              <w:pStyle w:val="12"/>
            </w:pPr>
            <w:r>
              <w:t>医保信息系统重大安全事件响应时间</w:t>
            </w:r>
          </w:p>
        </w:tc>
        <w:tc>
          <w:tcPr>
            <w:tcW w:w="2268" w:type="dxa"/>
            <w:vAlign w:val="center"/>
          </w:tcPr>
          <w:p>
            <w:pPr>
              <w:pStyle w:val="12"/>
            </w:pPr>
            <w:r>
              <w:t>≤60分钟</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用于医保信息系统维护和医保专项检查所需费用开支情况</w:t>
            </w:r>
          </w:p>
        </w:tc>
        <w:tc>
          <w:tcPr>
            <w:tcW w:w="2268" w:type="dxa"/>
            <w:vAlign w:val="center"/>
          </w:tcPr>
          <w:p>
            <w:pPr>
              <w:pStyle w:val="12"/>
            </w:pPr>
            <w:r>
              <w:t>≤416.01万元</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参保群众政策知晓率</w:t>
            </w:r>
          </w:p>
        </w:tc>
        <w:tc>
          <w:tcPr>
            <w:tcW w:w="5386" w:type="dxa"/>
            <w:vAlign w:val="center"/>
          </w:tcPr>
          <w:p>
            <w:pPr>
              <w:pStyle w:val="12"/>
            </w:pPr>
            <w:r>
              <w:t>参保群众政策知晓率</w:t>
            </w:r>
          </w:p>
        </w:tc>
        <w:tc>
          <w:tcPr>
            <w:tcW w:w="2268" w:type="dxa"/>
            <w:vAlign w:val="center"/>
          </w:tcPr>
          <w:p>
            <w:pPr>
              <w:pStyle w:val="12"/>
            </w:pPr>
            <w:r>
              <w:t>≥90%</w:t>
            </w:r>
          </w:p>
        </w:tc>
        <w:tc>
          <w:tcPr>
            <w:tcW w:w="1276" w:type="dxa"/>
            <w:vAlign w:val="center"/>
          </w:tcPr>
          <w:p>
            <w:pPr>
              <w:pStyle w:val="12"/>
            </w:pPr>
            <w:r>
              <w:t>承财社（2024）53号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提升医疗保障能力</w:t>
            </w:r>
          </w:p>
        </w:tc>
        <w:tc>
          <w:tcPr>
            <w:tcW w:w="5386" w:type="dxa"/>
            <w:vAlign w:val="center"/>
          </w:tcPr>
          <w:p>
            <w:pPr>
              <w:pStyle w:val="12"/>
            </w:pPr>
            <w:r>
              <w:t>提升医疗服务与保障能力</w:t>
            </w:r>
          </w:p>
        </w:tc>
        <w:tc>
          <w:tcPr>
            <w:tcW w:w="2268" w:type="dxa"/>
            <w:vAlign w:val="center"/>
          </w:tcPr>
          <w:p>
            <w:pPr>
              <w:pStyle w:val="12"/>
            </w:pPr>
            <w:r>
              <w:t>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≥85%</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系统使用人对系统的满意情况</w:t>
            </w:r>
          </w:p>
        </w:tc>
        <w:tc>
          <w:tcPr>
            <w:tcW w:w="5386" w:type="dxa"/>
            <w:vAlign w:val="center"/>
          </w:tcPr>
          <w:p>
            <w:pPr>
              <w:pStyle w:val="12"/>
            </w:pPr>
            <w:r>
              <w:t>系统使用人对系统的满意情况</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5、困难群众基本生活补助（医疗救助）绩效目标表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13080023P00054510002D</w:t>
            </w:r>
          </w:p>
        </w:tc>
        <w:tc>
          <w:tcPr>
            <w:tcW w:w="2835" w:type="dxa"/>
            <w:vAlign w:val="center"/>
          </w:tcPr>
          <w:p>
            <w:pPr>
              <w:pStyle w:val="10"/>
            </w:pPr>
            <w:r>
              <w:t>项目名称</w:t>
            </w:r>
          </w:p>
        </w:tc>
        <w:tc>
          <w:tcPr>
            <w:tcW w:w="6095" w:type="dxa"/>
            <w:gridSpan w:val="3"/>
            <w:vAlign w:val="center"/>
          </w:tcPr>
          <w:p>
            <w:pPr>
              <w:pStyle w:val="12"/>
            </w:pPr>
            <w:r>
              <w:t>困难群众基本生活补助（医疗救助）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1517.00</w:t>
            </w:r>
          </w:p>
        </w:tc>
        <w:tc>
          <w:tcPr>
            <w:tcW w:w="2835" w:type="dxa"/>
            <w:vAlign w:val="center"/>
          </w:tcPr>
          <w:p>
            <w:pPr>
              <w:pStyle w:val="10"/>
            </w:pPr>
            <w:r>
              <w:t>其中：财政    资金</w:t>
            </w:r>
          </w:p>
        </w:tc>
        <w:tc>
          <w:tcPr>
            <w:tcW w:w="2551" w:type="dxa"/>
            <w:vAlign w:val="center"/>
          </w:tcPr>
          <w:p>
            <w:pPr>
              <w:pStyle w:val="12"/>
            </w:pPr>
            <w:r>
              <w:t>1517.00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用于困难群众基本生活补助（医疗救助）资金支出。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1.在2025年12月31日前支付困难群众基本生活补助资金1517万元，达到提高困难群众基本生活水平的效果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贫困人口参保人数</w:t>
            </w:r>
          </w:p>
        </w:tc>
        <w:tc>
          <w:tcPr>
            <w:tcW w:w="5386" w:type="dxa"/>
            <w:vAlign w:val="center"/>
          </w:tcPr>
          <w:p>
            <w:pPr>
              <w:pStyle w:val="12"/>
            </w:pPr>
            <w:r>
              <w:t>贫困人口参保人数</w:t>
            </w:r>
          </w:p>
        </w:tc>
        <w:tc>
          <w:tcPr>
            <w:tcW w:w="2268" w:type="dxa"/>
            <w:vAlign w:val="center"/>
          </w:tcPr>
          <w:p>
            <w:pPr>
              <w:pStyle w:val="12"/>
            </w:pPr>
            <w:r>
              <w:t>≥55万人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贫困人口参保率</w:t>
            </w:r>
          </w:p>
        </w:tc>
        <w:tc>
          <w:tcPr>
            <w:tcW w:w="5386" w:type="dxa"/>
            <w:vAlign w:val="center"/>
          </w:tcPr>
          <w:p>
            <w:pPr>
              <w:pStyle w:val="12"/>
            </w:pPr>
            <w:r>
              <w:t>贫困人口参保率</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医疗救助待遇落实及时</w:t>
            </w:r>
          </w:p>
        </w:tc>
        <w:tc>
          <w:tcPr>
            <w:tcW w:w="5386" w:type="dxa"/>
            <w:vAlign w:val="center"/>
          </w:tcPr>
          <w:p>
            <w:pPr>
              <w:pStyle w:val="12"/>
            </w:pPr>
            <w:r>
              <w:t>医疗救助待遇落实及时</w:t>
            </w:r>
          </w:p>
        </w:tc>
        <w:tc>
          <w:tcPr>
            <w:tcW w:w="2268" w:type="dxa"/>
            <w:vAlign w:val="center"/>
          </w:tcPr>
          <w:p>
            <w:pPr>
              <w:pStyle w:val="12"/>
            </w:pPr>
            <w:r>
              <w:t>及时</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困难群众医疗救助金额</w:t>
            </w:r>
          </w:p>
        </w:tc>
        <w:tc>
          <w:tcPr>
            <w:tcW w:w="5386" w:type="dxa"/>
            <w:vAlign w:val="center"/>
          </w:tcPr>
          <w:p>
            <w:pPr>
              <w:pStyle w:val="12"/>
            </w:pPr>
            <w:r>
              <w:t>困难群众医疗救助金额</w:t>
            </w:r>
          </w:p>
        </w:tc>
        <w:tc>
          <w:tcPr>
            <w:tcW w:w="2268" w:type="dxa"/>
            <w:vAlign w:val="center"/>
          </w:tcPr>
          <w:p>
            <w:pPr>
              <w:pStyle w:val="12"/>
            </w:pPr>
            <w:r>
              <w:t>1517万元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困难群众就医保障</w:t>
            </w:r>
          </w:p>
        </w:tc>
        <w:tc>
          <w:tcPr>
            <w:tcW w:w="5386" w:type="dxa"/>
            <w:vAlign w:val="center"/>
          </w:tcPr>
          <w:p>
            <w:pPr>
              <w:pStyle w:val="12"/>
            </w:pPr>
            <w:r>
              <w:t>困难群众就医保障</w:t>
            </w:r>
          </w:p>
        </w:tc>
        <w:tc>
          <w:tcPr>
            <w:tcW w:w="2268" w:type="dxa"/>
            <w:vAlign w:val="center"/>
          </w:tcPr>
          <w:p>
            <w:pPr>
              <w:pStyle w:val="12"/>
            </w:pPr>
            <w:r>
              <w:t>有效保障</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目录范围内报销比例</w:t>
            </w:r>
          </w:p>
        </w:tc>
        <w:tc>
          <w:tcPr>
            <w:tcW w:w="5386" w:type="dxa"/>
            <w:vAlign w:val="center"/>
          </w:tcPr>
          <w:p>
            <w:pPr>
              <w:pStyle w:val="12"/>
            </w:pPr>
            <w:r>
              <w:t>目录范围内报销比例</w:t>
            </w:r>
          </w:p>
        </w:tc>
        <w:tc>
          <w:tcPr>
            <w:tcW w:w="2268" w:type="dxa"/>
            <w:vAlign w:val="center"/>
          </w:tcPr>
          <w:p>
            <w:pPr>
              <w:pStyle w:val="12"/>
            </w:pPr>
            <w:r>
              <w:t>≥90%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困难群众满意度</w:t>
            </w:r>
          </w:p>
        </w:tc>
        <w:tc>
          <w:tcPr>
            <w:tcW w:w="5386" w:type="dxa"/>
            <w:vAlign w:val="center"/>
          </w:tcPr>
          <w:p>
            <w:pPr>
              <w:pStyle w:val="12"/>
            </w:pPr>
            <w:r>
              <w:t>困难群众满意度</w:t>
            </w:r>
          </w:p>
        </w:tc>
        <w:tc>
          <w:tcPr>
            <w:tcW w:w="2268" w:type="dxa"/>
            <w:vAlign w:val="center"/>
          </w:tcPr>
          <w:p>
            <w:pPr>
              <w:pStyle w:val="12"/>
            </w:pPr>
            <w:r>
              <w:t>≥95%</w:t>
            </w:r>
          </w:p>
        </w:tc>
        <w:tc>
          <w:tcPr>
            <w:tcW w:w="1276" w:type="dxa"/>
            <w:vAlign w:val="center"/>
          </w:tcPr>
          <w:p>
            <w:pPr>
              <w:pStyle w:val="12"/>
            </w:pPr>
            <w:r>
              <w:t>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6、医保基金监督专项经费项目绩效目标表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13080025P00090810002D</w:t>
            </w:r>
          </w:p>
        </w:tc>
        <w:tc>
          <w:tcPr>
            <w:tcW w:w="2835" w:type="dxa"/>
            <w:vAlign w:val="center"/>
          </w:tcPr>
          <w:p>
            <w:pPr>
              <w:pStyle w:val="10"/>
            </w:pPr>
            <w:r>
              <w:t>项目名称</w:t>
            </w:r>
          </w:p>
        </w:tc>
        <w:tc>
          <w:tcPr>
            <w:tcW w:w="6095" w:type="dxa"/>
            <w:gridSpan w:val="3"/>
            <w:vAlign w:val="center"/>
          </w:tcPr>
          <w:p>
            <w:pPr>
              <w:pStyle w:val="12"/>
            </w:pPr>
            <w:r>
              <w:t>医保基金监督专项经费项目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大依法查处医保领域违法违规行为力度，发挥综合监管能力，进一步提高精准打击能力，在2025年12月底之前，项目支出3万元，完成对全市定点医药机构1800家以上全覆盖检查，达到保障全市医保基金安全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大依法查处医保领域违法违规行为力度，发挥综合监管能力，进一步提高精准打击能力，在2025年12月底之前，项目支出3万元，完成对全市定点医药机构1800家以上全覆盖检查，达到保障全市医保基金安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定点医药机构数量</w:t>
            </w:r>
          </w:p>
        </w:tc>
        <w:tc>
          <w:tcPr>
            <w:tcW w:w="5386" w:type="dxa"/>
            <w:vAlign w:val="center"/>
          </w:tcPr>
          <w:p>
            <w:pPr>
              <w:pStyle w:val="12"/>
            </w:pPr>
            <w:r>
              <w:t>查处定点医药机构数量</w:t>
            </w:r>
          </w:p>
        </w:tc>
        <w:tc>
          <w:tcPr>
            <w:tcW w:w="2268" w:type="dxa"/>
            <w:vAlign w:val="center"/>
          </w:tcPr>
          <w:p>
            <w:pPr>
              <w:pStyle w:val="12"/>
            </w:pPr>
            <w:r>
              <w:t>≥1800家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举报案件查处率</w:t>
            </w:r>
          </w:p>
        </w:tc>
        <w:tc>
          <w:tcPr>
            <w:tcW w:w="5386" w:type="dxa"/>
            <w:vAlign w:val="center"/>
          </w:tcPr>
          <w:p>
            <w:pPr>
              <w:pStyle w:val="12"/>
            </w:pPr>
            <w:r>
              <w:t>对举报的案件查处情况</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及时完成检查任务</w:t>
            </w:r>
          </w:p>
        </w:tc>
        <w:tc>
          <w:tcPr>
            <w:tcW w:w="5386" w:type="dxa"/>
            <w:vAlign w:val="center"/>
          </w:tcPr>
          <w:p>
            <w:pPr>
              <w:pStyle w:val="12"/>
            </w:pPr>
            <w:r>
              <w:t>按计划及时完成检查，执法和监管任务</w:t>
            </w:r>
          </w:p>
        </w:tc>
        <w:tc>
          <w:tcPr>
            <w:tcW w:w="2268" w:type="dxa"/>
            <w:vAlign w:val="center"/>
          </w:tcPr>
          <w:p>
            <w:pPr>
              <w:pStyle w:val="12"/>
            </w:pPr>
            <w:r>
              <w:t>2025年12月底前</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项目支出总成本</w:t>
            </w:r>
          </w:p>
        </w:tc>
        <w:tc>
          <w:tcPr>
            <w:tcW w:w="5386" w:type="dxa"/>
            <w:vAlign w:val="center"/>
          </w:tcPr>
          <w:p>
            <w:pPr>
              <w:pStyle w:val="12"/>
            </w:pPr>
            <w:r>
              <w:t>项目支出总成本</w:t>
            </w:r>
          </w:p>
        </w:tc>
        <w:tc>
          <w:tcPr>
            <w:tcW w:w="2268" w:type="dxa"/>
            <w:vAlign w:val="center"/>
          </w:tcPr>
          <w:p>
            <w:pPr>
              <w:pStyle w:val="12"/>
            </w:pPr>
            <w:r>
              <w:t>≤3万元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有效提升基金监管业务能力</w:t>
            </w:r>
          </w:p>
        </w:tc>
        <w:tc>
          <w:tcPr>
            <w:tcW w:w="5386" w:type="dxa"/>
            <w:vAlign w:val="center"/>
          </w:tcPr>
          <w:p>
            <w:pPr>
              <w:pStyle w:val="12"/>
            </w:pPr>
            <w:r>
              <w:t>基金监管业务能力提升，确保医保反欺诈大数据应用监管试点工作取得实效</w:t>
            </w:r>
          </w:p>
        </w:tc>
        <w:tc>
          <w:tcPr>
            <w:tcW w:w="2268" w:type="dxa"/>
            <w:vAlign w:val="center"/>
          </w:tcPr>
          <w:p>
            <w:pPr>
              <w:pStyle w:val="12"/>
            </w:pPr>
            <w:r>
              <w:t>有限提升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提高精准打击能力</w:t>
            </w:r>
          </w:p>
        </w:tc>
        <w:tc>
          <w:tcPr>
            <w:tcW w:w="5386" w:type="dxa"/>
            <w:vAlign w:val="center"/>
          </w:tcPr>
          <w:p>
            <w:pPr>
              <w:pStyle w:val="12"/>
            </w:pPr>
            <w:r>
              <w:t>提高医保领域违法违规行为打击能力</w:t>
            </w:r>
          </w:p>
        </w:tc>
        <w:tc>
          <w:tcPr>
            <w:tcW w:w="2268" w:type="dxa"/>
            <w:vAlign w:val="center"/>
          </w:tcPr>
          <w:p>
            <w:pPr>
              <w:pStyle w:val="12"/>
            </w:pPr>
            <w:r>
              <w:t>有限提升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医药机构满意度</w:t>
            </w:r>
          </w:p>
        </w:tc>
        <w:tc>
          <w:tcPr>
            <w:tcW w:w="5386" w:type="dxa"/>
            <w:vAlign w:val="center"/>
          </w:tcPr>
          <w:p>
            <w:pPr>
              <w:pStyle w:val="12"/>
            </w:pPr>
            <w:r>
              <w:t>医药机构满意度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7、医疗服务与保障能力提升补助绩效目标表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13080025P004KM910002J</w:t>
            </w:r>
          </w:p>
        </w:tc>
        <w:tc>
          <w:tcPr>
            <w:tcW w:w="2835" w:type="dxa"/>
            <w:vAlign w:val="center"/>
          </w:tcPr>
          <w:p>
            <w:pPr>
              <w:pStyle w:val="10"/>
            </w:pPr>
            <w:r>
              <w:t>项目名称</w:t>
            </w:r>
          </w:p>
        </w:tc>
        <w:tc>
          <w:tcPr>
            <w:tcW w:w="6095" w:type="dxa"/>
            <w:gridSpan w:val="3"/>
            <w:vAlign w:val="center"/>
          </w:tcPr>
          <w:p>
            <w:pPr>
              <w:pStyle w:val="12"/>
            </w:pPr>
            <w:r>
              <w:t>医疗服务与保障能力提升补助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402.00</w:t>
            </w:r>
          </w:p>
        </w:tc>
        <w:tc>
          <w:tcPr>
            <w:tcW w:w="2835" w:type="dxa"/>
            <w:vAlign w:val="center"/>
          </w:tcPr>
          <w:p>
            <w:pPr>
              <w:pStyle w:val="10"/>
            </w:pPr>
            <w:r>
              <w:t>其中：财政    资金</w:t>
            </w:r>
          </w:p>
        </w:tc>
        <w:tc>
          <w:tcPr>
            <w:tcW w:w="2551" w:type="dxa"/>
            <w:vAlign w:val="center"/>
          </w:tcPr>
          <w:p>
            <w:pPr>
              <w:pStyle w:val="12"/>
            </w:pPr>
            <w:r>
              <w:t>402.00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主要用于用于医保信息化标准化系统维护，医保基金监管检查等方面工作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1.在2025年12月31日前支付402万元，用于医保信息化标准化系统维护，医保基金监管检查等方面工作，达到国家统一医保信息平台正常运行和定点医药机构监督检查覆盖的效果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医保信息平台子系统运维数量</w:t>
            </w:r>
          </w:p>
        </w:tc>
        <w:tc>
          <w:tcPr>
            <w:tcW w:w="5386" w:type="dxa"/>
            <w:vAlign w:val="center"/>
          </w:tcPr>
          <w:p>
            <w:pPr>
              <w:pStyle w:val="12"/>
            </w:pPr>
            <w:r>
              <w:t>医保信息平台子系统运维数量</w:t>
            </w:r>
          </w:p>
        </w:tc>
        <w:tc>
          <w:tcPr>
            <w:tcW w:w="2268" w:type="dxa"/>
            <w:vAlign w:val="center"/>
          </w:tcPr>
          <w:p>
            <w:pPr>
              <w:pStyle w:val="12"/>
            </w:pPr>
            <w:r>
              <w:t>≥18个</w:t>
            </w:r>
          </w:p>
        </w:tc>
        <w:tc>
          <w:tcPr>
            <w:tcW w:w="1276" w:type="dxa"/>
            <w:vAlign w:val="center"/>
          </w:tcPr>
          <w:p>
            <w:pPr>
              <w:pStyle w:val="12"/>
            </w:pPr>
            <w:r>
              <w:t>当前信息系统数量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专项检查次数</w:t>
            </w:r>
          </w:p>
        </w:tc>
        <w:tc>
          <w:tcPr>
            <w:tcW w:w="5386" w:type="dxa"/>
            <w:vAlign w:val="center"/>
          </w:tcPr>
          <w:p>
            <w:pPr>
              <w:pStyle w:val="12"/>
            </w:pPr>
            <w:r>
              <w:t>专项检查次数</w:t>
            </w:r>
          </w:p>
        </w:tc>
        <w:tc>
          <w:tcPr>
            <w:tcW w:w="2268" w:type="dxa"/>
            <w:vAlign w:val="center"/>
          </w:tcPr>
          <w:p>
            <w:pPr>
              <w:pStyle w:val="12"/>
            </w:pPr>
            <w:r>
              <w:t>≥1次</w:t>
            </w:r>
          </w:p>
        </w:tc>
        <w:tc>
          <w:tcPr>
            <w:tcW w:w="1276" w:type="dxa"/>
            <w:vAlign w:val="center"/>
          </w:tcPr>
          <w:p>
            <w:pPr>
              <w:pStyle w:val="12"/>
            </w:pPr>
            <w:r>
              <w:t>承财社【2022】218号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定点医药机构监督检查覆盖率</w:t>
            </w:r>
          </w:p>
        </w:tc>
        <w:tc>
          <w:tcPr>
            <w:tcW w:w="5386" w:type="dxa"/>
            <w:vAlign w:val="center"/>
          </w:tcPr>
          <w:p>
            <w:pPr>
              <w:pStyle w:val="12"/>
            </w:pPr>
            <w:r>
              <w:t>定点医药机构监督检查覆盖率</w:t>
            </w:r>
          </w:p>
        </w:tc>
        <w:tc>
          <w:tcPr>
            <w:tcW w:w="2268" w:type="dxa"/>
            <w:vAlign w:val="center"/>
          </w:tcPr>
          <w:p>
            <w:pPr>
              <w:pStyle w:val="12"/>
            </w:pPr>
            <w:r>
              <w:t>≥90%</w:t>
            </w:r>
          </w:p>
        </w:tc>
        <w:tc>
          <w:tcPr>
            <w:tcW w:w="1276" w:type="dxa"/>
            <w:vAlign w:val="center"/>
          </w:tcPr>
          <w:p>
            <w:pPr>
              <w:pStyle w:val="12"/>
            </w:pPr>
            <w:r>
              <w:t>承财社【2022】218号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医保信息系统正常运行率</w:t>
            </w:r>
          </w:p>
        </w:tc>
        <w:tc>
          <w:tcPr>
            <w:tcW w:w="2268" w:type="dxa"/>
            <w:vAlign w:val="center"/>
          </w:tcPr>
          <w:p>
            <w:pPr>
              <w:pStyle w:val="12"/>
            </w:pPr>
            <w:r>
              <w:t>≥90%</w:t>
            </w:r>
          </w:p>
        </w:tc>
        <w:tc>
          <w:tcPr>
            <w:tcW w:w="1276" w:type="dxa"/>
            <w:vAlign w:val="center"/>
          </w:tcPr>
          <w:p>
            <w:pPr>
              <w:pStyle w:val="12"/>
            </w:pPr>
            <w:r>
              <w:t>国家医疗保障局办公室《关于做好医保信息化运维管理工作的指导意见》的通知（医保办发【2022】14号）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医保基金监管检查时间</w:t>
            </w:r>
          </w:p>
        </w:tc>
        <w:tc>
          <w:tcPr>
            <w:tcW w:w="5386" w:type="dxa"/>
            <w:vAlign w:val="center"/>
          </w:tcPr>
          <w:p>
            <w:pPr>
              <w:pStyle w:val="12"/>
            </w:pPr>
            <w:r>
              <w:t>医保基金监管检查时间</w:t>
            </w:r>
          </w:p>
        </w:tc>
        <w:tc>
          <w:tcPr>
            <w:tcW w:w="2268" w:type="dxa"/>
            <w:vAlign w:val="center"/>
          </w:tcPr>
          <w:p>
            <w:pPr>
              <w:pStyle w:val="12"/>
            </w:pPr>
            <w:r>
              <w:t>在2025年12月31日前</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医保信息系统重大安全事件响应时间</w:t>
            </w:r>
          </w:p>
        </w:tc>
        <w:tc>
          <w:tcPr>
            <w:tcW w:w="5386" w:type="dxa"/>
            <w:vAlign w:val="center"/>
          </w:tcPr>
          <w:p>
            <w:pPr>
              <w:pStyle w:val="12"/>
            </w:pPr>
            <w:r>
              <w:t>医保信息系统重大安全事件响应时间</w:t>
            </w:r>
          </w:p>
        </w:tc>
        <w:tc>
          <w:tcPr>
            <w:tcW w:w="2268" w:type="dxa"/>
            <w:vAlign w:val="center"/>
          </w:tcPr>
          <w:p>
            <w:pPr>
              <w:pStyle w:val="12"/>
            </w:pPr>
            <w:r>
              <w:t>≤60分钟</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用于医保信息系统维护和医保专项检查所需费用开支情况</w:t>
            </w:r>
          </w:p>
        </w:tc>
        <w:tc>
          <w:tcPr>
            <w:tcW w:w="2268" w:type="dxa"/>
            <w:vAlign w:val="center"/>
          </w:tcPr>
          <w:p>
            <w:pPr>
              <w:pStyle w:val="12"/>
            </w:pPr>
            <w:r>
              <w:t>≤402万元</w:t>
            </w:r>
          </w:p>
        </w:tc>
        <w:tc>
          <w:tcPr>
            <w:tcW w:w="1276" w:type="dxa"/>
            <w:vAlign w:val="center"/>
          </w:tcPr>
          <w:p>
            <w:pPr>
              <w:pStyle w:val="12"/>
            </w:pPr>
            <w:r>
              <w:t>承财社【2024】133号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参保群众政策知晓率</w:t>
            </w:r>
          </w:p>
        </w:tc>
        <w:tc>
          <w:tcPr>
            <w:tcW w:w="5386" w:type="dxa"/>
            <w:vAlign w:val="center"/>
          </w:tcPr>
          <w:p>
            <w:pPr>
              <w:pStyle w:val="12"/>
            </w:pPr>
            <w:r>
              <w:t>参保群众政策知晓率</w:t>
            </w:r>
          </w:p>
        </w:tc>
        <w:tc>
          <w:tcPr>
            <w:tcW w:w="2268" w:type="dxa"/>
            <w:vAlign w:val="center"/>
          </w:tcPr>
          <w:p>
            <w:pPr>
              <w:pStyle w:val="12"/>
            </w:pPr>
            <w:r>
              <w:t>≥90%</w:t>
            </w:r>
          </w:p>
        </w:tc>
        <w:tc>
          <w:tcPr>
            <w:tcW w:w="1276" w:type="dxa"/>
            <w:vAlign w:val="center"/>
          </w:tcPr>
          <w:p>
            <w:pPr>
              <w:pStyle w:val="12"/>
            </w:pPr>
            <w:r>
              <w:t>承财社【2022】218号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≥85%</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医保信息系统使用人员对相关信息系统的满意情况</w:t>
            </w:r>
          </w:p>
        </w:tc>
        <w:tc>
          <w:tcPr>
            <w:tcW w:w="5386" w:type="dxa"/>
            <w:vAlign w:val="center"/>
          </w:tcPr>
          <w:p>
            <w:pPr>
              <w:pStyle w:val="12"/>
            </w:pPr>
            <w:r>
              <w:t>医保信息系统使用人员对相关信息系统的满意情况</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8、中央财政医疗服务与保障能力提升补助资金绩效目标表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13080024P00093210002J</w:t>
            </w:r>
          </w:p>
        </w:tc>
        <w:tc>
          <w:tcPr>
            <w:tcW w:w="2835" w:type="dxa"/>
            <w:vAlign w:val="center"/>
          </w:tcPr>
          <w:p>
            <w:pPr>
              <w:pStyle w:val="10"/>
            </w:pPr>
            <w:r>
              <w:t>项目名称</w:t>
            </w:r>
          </w:p>
        </w:tc>
        <w:tc>
          <w:tcPr>
            <w:tcW w:w="6095" w:type="dxa"/>
            <w:gridSpan w:val="3"/>
            <w:vAlign w:val="center"/>
          </w:tcPr>
          <w:p>
            <w:pPr>
              <w:pStyle w:val="12"/>
            </w:pPr>
            <w:r>
              <w:t>中央财政医疗服务与保障能力提升补助资金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0.17</w:t>
            </w:r>
          </w:p>
        </w:tc>
        <w:tc>
          <w:tcPr>
            <w:tcW w:w="2835" w:type="dxa"/>
            <w:vAlign w:val="center"/>
          </w:tcPr>
          <w:p>
            <w:pPr>
              <w:pStyle w:val="10"/>
            </w:pPr>
            <w:r>
              <w:t>其中：财政    资金</w:t>
            </w:r>
          </w:p>
        </w:tc>
        <w:tc>
          <w:tcPr>
            <w:tcW w:w="2551" w:type="dxa"/>
            <w:vAlign w:val="center"/>
          </w:tcPr>
          <w:p>
            <w:pPr>
              <w:pStyle w:val="12"/>
            </w:pPr>
            <w:r>
              <w:t>0.17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主要用于医保基金监管检查等方面工作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1.在2025年12月31日前支付0.1685万元，用于医保基金监管检查等方面工作，达到定点医疗机构监督检查覆盖的效果。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专项检查次数</w:t>
            </w:r>
          </w:p>
        </w:tc>
        <w:tc>
          <w:tcPr>
            <w:tcW w:w="5386" w:type="dxa"/>
            <w:vAlign w:val="center"/>
          </w:tcPr>
          <w:p>
            <w:pPr>
              <w:pStyle w:val="12"/>
            </w:pPr>
            <w:r>
              <w:t>专项检查次数</w:t>
            </w:r>
          </w:p>
        </w:tc>
        <w:tc>
          <w:tcPr>
            <w:tcW w:w="2268" w:type="dxa"/>
            <w:vAlign w:val="center"/>
          </w:tcPr>
          <w:p>
            <w:pPr>
              <w:pStyle w:val="12"/>
            </w:pPr>
            <w:r>
              <w:t>≥1次</w:t>
            </w:r>
          </w:p>
        </w:tc>
        <w:tc>
          <w:tcPr>
            <w:tcW w:w="1276" w:type="dxa"/>
            <w:vAlign w:val="center"/>
          </w:tcPr>
          <w:p>
            <w:pPr>
              <w:pStyle w:val="12"/>
            </w:pPr>
            <w:r>
              <w:t>冀财社[2022]218号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定点医药机构监督检查覆盖率</w:t>
            </w:r>
          </w:p>
        </w:tc>
        <w:tc>
          <w:tcPr>
            <w:tcW w:w="5386" w:type="dxa"/>
            <w:vAlign w:val="center"/>
          </w:tcPr>
          <w:p>
            <w:pPr>
              <w:pStyle w:val="12"/>
            </w:pPr>
            <w:r>
              <w:t>定点医药机构监督检查覆盖率</w:t>
            </w:r>
          </w:p>
        </w:tc>
        <w:tc>
          <w:tcPr>
            <w:tcW w:w="2268" w:type="dxa"/>
            <w:vAlign w:val="center"/>
          </w:tcPr>
          <w:p>
            <w:pPr>
              <w:pStyle w:val="12"/>
            </w:pPr>
            <w:r>
              <w:t>≥90%</w:t>
            </w:r>
          </w:p>
        </w:tc>
        <w:tc>
          <w:tcPr>
            <w:tcW w:w="1276" w:type="dxa"/>
            <w:vAlign w:val="center"/>
          </w:tcPr>
          <w:p>
            <w:pPr>
              <w:pStyle w:val="12"/>
            </w:pPr>
            <w:r>
              <w:t>冀财社[2022]218号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医保基金监管检查时间</w:t>
            </w:r>
          </w:p>
        </w:tc>
        <w:tc>
          <w:tcPr>
            <w:tcW w:w="5386" w:type="dxa"/>
            <w:vAlign w:val="center"/>
          </w:tcPr>
          <w:p>
            <w:pPr>
              <w:pStyle w:val="12"/>
            </w:pPr>
            <w:r>
              <w:t>医保基金监管检查时间</w:t>
            </w:r>
          </w:p>
        </w:tc>
        <w:tc>
          <w:tcPr>
            <w:tcW w:w="2268" w:type="dxa"/>
            <w:vAlign w:val="center"/>
          </w:tcPr>
          <w:p>
            <w:pPr>
              <w:pStyle w:val="12"/>
            </w:pPr>
            <w:r>
              <w:t>2025年12月31日前</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用于医保专项检查所需费用开支情况</w:t>
            </w:r>
          </w:p>
        </w:tc>
        <w:tc>
          <w:tcPr>
            <w:tcW w:w="2268" w:type="dxa"/>
            <w:vAlign w:val="center"/>
          </w:tcPr>
          <w:p>
            <w:pPr>
              <w:pStyle w:val="12"/>
            </w:pPr>
            <w:r>
              <w:t>0.17万元</w:t>
            </w:r>
          </w:p>
        </w:tc>
        <w:tc>
          <w:tcPr>
            <w:tcW w:w="1276" w:type="dxa"/>
            <w:vAlign w:val="center"/>
          </w:tcPr>
          <w:p>
            <w:pPr>
              <w:pStyle w:val="12"/>
            </w:pPr>
            <w:r>
              <w:t>承财社[2023]225号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参保群众政策知晓率</w:t>
            </w:r>
          </w:p>
        </w:tc>
        <w:tc>
          <w:tcPr>
            <w:tcW w:w="5386" w:type="dxa"/>
            <w:vAlign w:val="center"/>
          </w:tcPr>
          <w:p>
            <w:pPr>
              <w:pStyle w:val="12"/>
            </w:pPr>
            <w:r>
              <w:t>参保群众政策知晓率</w:t>
            </w:r>
          </w:p>
        </w:tc>
        <w:tc>
          <w:tcPr>
            <w:tcW w:w="2268" w:type="dxa"/>
            <w:vAlign w:val="center"/>
          </w:tcPr>
          <w:p>
            <w:pPr>
              <w:pStyle w:val="12"/>
            </w:pPr>
            <w:r>
              <w:t>≥90%</w:t>
            </w:r>
          </w:p>
        </w:tc>
        <w:tc>
          <w:tcPr>
            <w:tcW w:w="1276" w:type="dxa"/>
            <w:vAlign w:val="center"/>
          </w:tcPr>
          <w:p>
            <w:pPr>
              <w:pStyle w:val="12"/>
            </w:pPr>
            <w:r>
              <w:t>冀财社[2022]218号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提升医疗保障能力</w:t>
            </w:r>
          </w:p>
        </w:tc>
        <w:tc>
          <w:tcPr>
            <w:tcW w:w="5386" w:type="dxa"/>
            <w:vAlign w:val="center"/>
          </w:tcPr>
          <w:p>
            <w:pPr>
              <w:pStyle w:val="12"/>
            </w:pPr>
            <w:r>
              <w:t>是否提升医疗服务与保障能力</w:t>
            </w:r>
          </w:p>
        </w:tc>
        <w:tc>
          <w:tcPr>
            <w:tcW w:w="2268" w:type="dxa"/>
            <w:vAlign w:val="center"/>
          </w:tcPr>
          <w:p>
            <w:pPr>
              <w:pStyle w:val="12"/>
            </w:pPr>
            <w:r>
              <w:t>是否提升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参保人员对医保服务的满意度</w:t>
            </w:r>
          </w:p>
        </w:tc>
        <w:tc>
          <w:tcPr>
            <w:tcW w:w="5386" w:type="dxa"/>
            <w:vAlign w:val="center"/>
          </w:tcPr>
          <w:p>
            <w:pPr>
              <w:pStyle w:val="12"/>
            </w:pPr>
            <w:r>
              <w:t>参保人员对医保服务的满意度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447001承德市医疗保障局本级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22.46</w:t>
            </w:r>
          </w:p>
        </w:tc>
        <w:tc>
          <w:tcPr>
            <w:tcW w:w="964" w:type="dxa"/>
            <w:vAlign w:val="center"/>
          </w:tcPr>
          <w:p>
            <w:pPr>
              <w:pStyle w:val="15"/>
            </w:pPr>
            <w:r>
              <w:t>22.46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承德市医疗保障局本级小计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22.46</w:t>
            </w:r>
          </w:p>
        </w:tc>
        <w:tc>
          <w:tcPr>
            <w:tcW w:w="964" w:type="dxa"/>
            <w:vAlign w:val="center"/>
          </w:tcPr>
          <w:p>
            <w:pPr>
              <w:pStyle w:val="15"/>
            </w:pPr>
            <w:r>
              <w:t>22.46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34.18</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次</w:t>
            </w:r>
          </w:p>
        </w:tc>
        <w:tc>
          <w:tcPr>
            <w:tcW w:w="850" w:type="dxa"/>
            <w:vAlign w:val="center"/>
          </w:tcPr>
          <w:p>
            <w:pPr>
              <w:pStyle w:val="11"/>
            </w:pPr>
            <w:r>
              <w:t>12</w:t>
            </w:r>
          </w:p>
        </w:tc>
        <w:tc>
          <w:tcPr>
            <w:tcW w:w="850" w:type="dxa"/>
            <w:vAlign w:val="center"/>
          </w:tcPr>
          <w:p>
            <w:pPr>
              <w:pStyle w:val="11"/>
            </w:pPr>
            <w:r>
              <w:t>0.05</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34.18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0.40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医保局机关及医保经办服务大厅运行项目经费</w:t>
            </w:r>
          </w:p>
        </w:tc>
        <w:tc>
          <w:tcPr>
            <w:tcW w:w="964" w:type="dxa"/>
            <w:vAlign w:val="center"/>
          </w:tcPr>
          <w:p>
            <w:pPr>
              <w:pStyle w:val="11"/>
            </w:pPr>
            <w:r>
              <w:t>50.00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件</w:t>
            </w:r>
          </w:p>
        </w:tc>
        <w:tc>
          <w:tcPr>
            <w:tcW w:w="850" w:type="dxa"/>
            <w:vAlign w:val="center"/>
          </w:tcPr>
          <w:p>
            <w:pPr>
              <w:pStyle w:val="11"/>
            </w:pPr>
            <w:r>
              <w:t>50</w:t>
            </w:r>
          </w:p>
        </w:tc>
        <w:tc>
          <w:tcPr>
            <w:tcW w:w="850" w:type="dxa"/>
            <w:vAlign w:val="center"/>
          </w:tcPr>
          <w:p>
            <w:pPr>
              <w:pStyle w:val="11"/>
            </w:pPr>
            <w:r>
              <w:t>0.04</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医保局机关及医保经办服务大厅运行项目经费</w:t>
            </w:r>
          </w:p>
        </w:tc>
        <w:tc>
          <w:tcPr>
            <w:tcW w:w="964" w:type="dxa"/>
            <w:vAlign w:val="center"/>
          </w:tcPr>
          <w:p>
            <w:pPr>
              <w:pStyle w:val="11"/>
            </w:pPr>
            <w:r>
              <w:t>50.00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14.36</w:t>
            </w:r>
          </w:p>
        </w:tc>
        <w:tc>
          <w:tcPr>
            <w:tcW w:w="964" w:type="dxa"/>
            <w:vAlign w:val="center"/>
          </w:tcPr>
          <w:p>
            <w:pPr>
              <w:pStyle w:val="11"/>
            </w:pPr>
            <w:r>
              <w:t>14.36</w:t>
            </w:r>
          </w:p>
        </w:tc>
        <w:tc>
          <w:tcPr>
            <w:tcW w:w="964" w:type="dxa"/>
            <w:vAlign w:val="center"/>
          </w:tcPr>
          <w:p>
            <w:pPr>
              <w:pStyle w:val="11"/>
            </w:pPr>
            <w:r>
              <w:t>14.36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医疗保障管理和业务工作经费</w:t>
            </w:r>
          </w:p>
        </w:tc>
        <w:tc>
          <w:tcPr>
            <w:tcW w:w="964" w:type="dxa"/>
            <w:vAlign w:val="center"/>
          </w:tcPr>
          <w:p>
            <w:pPr>
              <w:pStyle w:val="11"/>
            </w:pPr>
            <w:r>
              <w:t>23.00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10</w:t>
            </w:r>
          </w:p>
        </w:tc>
        <w:tc>
          <w:tcPr>
            <w:tcW w:w="850" w:type="dxa"/>
            <w:vAlign w:val="center"/>
          </w:tcPr>
          <w:p>
            <w:pPr>
              <w:pStyle w:val="11"/>
            </w:pPr>
            <w:r>
              <w:t>0.07</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医疗保障管理和业务工作经费</w:t>
            </w:r>
          </w:p>
        </w:tc>
        <w:tc>
          <w:tcPr>
            <w:tcW w:w="964" w:type="dxa"/>
            <w:vAlign w:val="center"/>
          </w:tcPr>
          <w:p>
            <w:pPr>
              <w:pStyle w:val="11"/>
            </w:pPr>
            <w:r>
              <w:t>23.00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医疗保障管理和业务工作经费</w:t>
            </w:r>
          </w:p>
        </w:tc>
        <w:tc>
          <w:tcPr>
            <w:tcW w:w="964" w:type="dxa"/>
            <w:vAlign w:val="center"/>
          </w:tcPr>
          <w:p>
            <w:pPr>
              <w:pStyle w:val="11"/>
            </w:pPr>
            <w:r>
              <w:t>23.00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12</w:t>
            </w:r>
          </w:p>
        </w:tc>
        <w:tc>
          <w:tcPr>
            <w:tcW w:w="850" w:type="dxa"/>
            <w:vAlign w:val="center"/>
          </w:tcPr>
          <w:p>
            <w:pPr>
              <w:pStyle w:val="11"/>
            </w:pPr>
            <w:r>
              <w:t>0.25</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承德市医疗保障局本级上年末固定资产金额为1008.16万元（详见下表）。本年度拟购置固定资产总额为0.70万元，已按要求列入政府采购预算，详见政府采购预算表。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447001承德市医疗保障局本级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1008.16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38.92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309.57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974</w:t>
            </w:r>
          </w:p>
        </w:tc>
        <w:tc>
          <w:tcPr>
            <w:tcW w:w="2835" w:type="dxa"/>
            <w:vAlign w:val="center"/>
          </w:tcPr>
          <w:p>
            <w:pPr>
              <w:pStyle w:val="11"/>
            </w:pPr>
            <w:r>
              <w:t>659.67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line="240" w:lineRule="auto"/>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826422"/>
    <w:rsid w:val="04376A83"/>
    <w:rsid w:val="18005900"/>
    <w:rsid w:val="312254FB"/>
    <w:rsid w:val="50397F22"/>
    <w:rsid w:val="69520257"/>
    <w:rsid w:val="745A6073"/>
    <w:rsid w:val="77DF18D9"/>
    <w:rsid w:val="7DB4370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TotalTime>5</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2025-03-06T14:26:00Z</dcterms:created>
  <dc:creator>Administrator</dc:creator>
  <cp:lastModifiedBy>Administrator</cp:lastModifiedBy>
  <cp:lastPrinted>2025-03-06T08:31:28Z</cp:lastPrinted>
  <dcterms:modified xsi:type="dcterms:W3CDTF">2025-03-06T08:44:33Z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