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447承德市医疗保障局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7534.32</w:t>
            </w:r>
          </w:p>
        </w:tc>
        <w:tc>
          <w:tcPr>
            <w:tcW w:w="4535" w:type="dxa"/>
            <w:vAlign w:val="center"/>
          </w:tcPr>
          <w:p>
            <w:pPr>
              <w:pStyle w:val="13"/>
            </w:pPr>
            <w:r>
              <w:t>一、一般公共服务支出</w:t>
            </w:r>
          </w:p>
        </w:tc>
        <w:tc>
          <w:tcPr>
            <w:tcW w:w="2126" w:type="dxa"/>
            <w:vAlign w:val="center"/>
          </w:tcPr>
          <w:p>
            <w:pPr>
              <w:pStyle w:val="12"/>
            </w:pPr>
            <w:r>
              <w:t>3210.00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1123.41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5011.66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7534.32</w:t>
            </w:r>
          </w:p>
        </w:tc>
        <w:tc>
          <w:tcPr>
            <w:tcW w:w="4535" w:type="dxa"/>
            <w:vAlign w:val="center"/>
          </w:tcPr>
          <w:p>
            <w:pPr>
              <w:pStyle w:val="15"/>
            </w:pPr>
            <w:r>
              <w:t>本年支出合计</w:t>
            </w:r>
          </w:p>
        </w:tc>
        <w:tc>
          <w:tcPr>
            <w:tcW w:w="2126" w:type="dxa"/>
            <w:vAlign w:val="center"/>
          </w:tcPr>
          <w:p>
            <w:pPr>
              <w:pStyle w:val="16"/>
            </w:pPr>
            <w:r>
              <w:t>9473.74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1939.42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9473.74</w:t>
            </w:r>
          </w:p>
        </w:tc>
        <w:tc>
          <w:tcPr>
            <w:tcW w:w="4535" w:type="dxa"/>
            <w:vAlign w:val="center"/>
          </w:tcPr>
          <w:p>
            <w:pPr>
              <w:pStyle w:val="15"/>
            </w:pPr>
            <w:r>
              <w:t>支出总计</w:t>
            </w:r>
          </w:p>
        </w:tc>
        <w:tc>
          <w:tcPr>
            <w:tcW w:w="2126" w:type="dxa"/>
            <w:vAlign w:val="center"/>
          </w:tcPr>
          <w:p>
            <w:pPr>
              <w:pStyle w:val="16"/>
            </w:pPr>
            <w:r>
              <w:t>9473.74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447承德市医疗保障局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9473.74</w:t>
            </w:r>
          </w:p>
        </w:tc>
        <w:tc>
          <w:tcPr>
            <w:tcW w:w="1134" w:type="dxa"/>
            <w:vAlign w:val="center"/>
          </w:tcPr>
          <w:p>
            <w:pPr>
              <w:pStyle w:val="16"/>
            </w:pPr>
            <w:r>
              <w:t>7534.32</w:t>
            </w:r>
          </w:p>
        </w:tc>
        <w:tc>
          <w:tcPr>
            <w:tcW w:w="1134" w:type="dxa"/>
            <w:vAlign w:val="center"/>
          </w:tcPr>
          <w:p>
            <w:pPr>
              <w:pStyle w:val="16"/>
            </w:pPr>
            <w:r>
              <w:t>7534.32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1939.42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3210.00</w:t>
            </w:r>
          </w:p>
        </w:tc>
        <w:tc>
          <w:tcPr>
            <w:tcW w:w="1134" w:type="dxa"/>
            <w:vAlign w:val="center"/>
          </w:tcPr>
          <w:p>
            <w:pPr>
              <w:pStyle w:val="12"/>
            </w:pPr>
            <w:r>
              <w:t>3210.00</w:t>
            </w:r>
          </w:p>
        </w:tc>
        <w:tc>
          <w:tcPr>
            <w:tcW w:w="1134" w:type="dxa"/>
            <w:vAlign w:val="center"/>
          </w:tcPr>
          <w:p>
            <w:pPr>
              <w:pStyle w:val="12"/>
            </w:pPr>
            <w:r>
              <w:t>3210.00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3210.00</w:t>
            </w:r>
          </w:p>
        </w:tc>
        <w:tc>
          <w:tcPr>
            <w:tcW w:w="1134" w:type="dxa"/>
            <w:vAlign w:val="center"/>
          </w:tcPr>
          <w:p>
            <w:pPr>
              <w:pStyle w:val="12"/>
            </w:pPr>
            <w:r>
              <w:t>3210.00</w:t>
            </w:r>
          </w:p>
        </w:tc>
        <w:tc>
          <w:tcPr>
            <w:tcW w:w="1134" w:type="dxa"/>
            <w:vAlign w:val="center"/>
          </w:tcPr>
          <w:p>
            <w:pPr>
              <w:pStyle w:val="12"/>
            </w:pPr>
            <w:r>
              <w:t>3210.00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2013904</w:t>
            </w:r>
          </w:p>
        </w:tc>
        <w:tc>
          <w:tcPr>
            <w:tcW w:w="1559" w:type="dxa"/>
            <w:vAlign w:val="center"/>
          </w:tcPr>
          <w:p>
            <w:pPr>
              <w:pStyle w:val="13"/>
            </w:pPr>
            <w:r>
              <w:t>专项业务</w:t>
            </w:r>
          </w:p>
        </w:tc>
        <w:tc>
          <w:tcPr>
            <w:tcW w:w="1134" w:type="dxa"/>
            <w:vAlign w:val="center"/>
          </w:tcPr>
          <w:p>
            <w:pPr>
              <w:pStyle w:val="12"/>
            </w:pPr>
            <w:r>
              <w:t>3210.00</w:t>
            </w:r>
          </w:p>
        </w:tc>
        <w:tc>
          <w:tcPr>
            <w:tcW w:w="1134" w:type="dxa"/>
            <w:vAlign w:val="center"/>
          </w:tcPr>
          <w:p>
            <w:pPr>
              <w:pStyle w:val="12"/>
            </w:pPr>
            <w:r>
              <w:t>3210.00</w:t>
            </w:r>
          </w:p>
        </w:tc>
        <w:tc>
          <w:tcPr>
            <w:tcW w:w="1134" w:type="dxa"/>
            <w:vAlign w:val="center"/>
          </w:tcPr>
          <w:p>
            <w:pPr>
              <w:pStyle w:val="12"/>
            </w:pPr>
            <w:r>
              <w:t>3210.00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1123.41</w:t>
            </w:r>
          </w:p>
        </w:tc>
        <w:tc>
          <w:tcPr>
            <w:tcW w:w="1134" w:type="dxa"/>
            <w:vAlign w:val="center"/>
          </w:tcPr>
          <w:p>
            <w:pPr>
              <w:pStyle w:val="12"/>
            </w:pPr>
            <w:r>
              <w:t>1123.41</w:t>
            </w:r>
          </w:p>
        </w:tc>
        <w:tc>
          <w:tcPr>
            <w:tcW w:w="1134" w:type="dxa"/>
            <w:vAlign w:val="center"/>
          </w:tcPr>
          <w:p>
            <w:pPr>
              <w:pStyle w:val="12"/>
            </w:pPr>
            <w:r>
              <w:t>1123.41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912.58</w:t>
            </w:r>
          </w:p>
        </w:tc>
        <w:tc>
          <w:tcPr>
            <w:tcW w:w="1134" w:type="dxa"/>
            <w:vAlign w:val="center"/>
          </w:tcPr>
          <w:p>
            <w:pPr>
              <w:pStyle w:val="12"/>
            </w:pPr>
            <w:r>
              <w:t>912.58</w:t>
            </w:r>
          </w:p>
        </w:tc>
        <w:tc>
          <w:tcPr>
            <w:tcW w:w="1134" w:type="dxa"/>
            <w:vAlign w:val="center"/>
          </w:tcPr>
          <w:p>
            <w:pPr>
              <w:pStyle w:val="12"/>
            </w:pPr>
            <w:r>
              <w:t>912.58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2080109</w:t>
            </w:r>
          </w:p>
        </w:tc>
        <w:tc>
          <w:tcPr>
            <w:tcW w:w="1559" w:type="dxa"/>
            <w:vAlign w:val="center"/>
          </w:tcPr>
          <w:p>
            <w:pPr>
              <w:pStyle w:val="13"/>
            </w:pPr>
            <w:r>
              <w:t>社会保险经办机构</w:t>
            </w:r>
          </w:p>
        </w:tc>
        <w:tc>
          <w:tcPr>
            <w:tcW w:w="1134" w:type="dxa"/>
            <w:vAlign w:val="center"/>
          </w:tcPr>
          <w:p>
            <w:pPr>
              <w:pStyle w:val="12"/>
            </w:pPr>
            <w:r>
              <w:t>912.58</w:t>
            </w:r>
          </w:p>
        </w:tc>
        <w:tc>
          <w:tcPr>
            <w:tcW w:w="1134" w:type="dxa"/>
            <w:vAlign w:val="center"/>
          </w:tcPr>
          <w:p>
            <w:pPr>
              <w:pStyle w:val="12"/>
            </w:pPr>
            <w:r>
              <w:t>912.58</w:t>
            </w:r>
          </w:p>
        </w:tc>
        <w:tc>
          <w:tcPr>
            <w:tcW w:w="1134" w:type="dxa"/>
            <w:vAlign w:val="center"/>
          </w:tcPr>
          <w:p>
            <w:pPr>
              <w:pStyle w:val="12"/>
            </w:pPr>
            <w:r>
              <w:t>912.58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210.83</w:t>
            </w:r>
          </w:p>
        </w:tc>
        <w:tc>
          <w:tcPr>
            <w:tcW w:w="1134" w:type="dxa"/>
            <w:vAlign w:val="center"/>
          </w:tcPr>
          <w:p>
            <w:pPr>
              <w:pStyle w:val="12"/>
            </w:pPr>
            <w:r>
              <w:t>210.83</w:t>
            </w:r>
          </w:p>
        </w:tc>
        <w:tc>
          <w:tcPr>
            <w:tcW w:w="1134" w:type="dxa"/>
            <w:vAlign w:val="center"/>
          </w:tcPr>
          <w:p>
            <w:pPr>
              <w:pStyle w:val="12"/>
            </w:pPr>
            <w:r>
              <w:t>210.83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9.64</w:t>
            </w:r>
          </w:p>
        </w:tc>
        <w:tc>
          <w:tcPr>
            <w:tcW w:w="1134" w:type="dxa"/>
            <w:vAlign w:val="center"/>
          </w:tcPr>
          <w:p>
            <w:pPr>
              <w:pStyle w:val="12"/>
            </w:pPr>
            <w:r>
              <w:t>9.64</w:t>
            </w:r>
          </w:p>
        </w:tc>
        <w:tc>
          <w:tcPr>
            <w:tcW w:w="1134" w:type="dxa"/>
            <w:vAlign w:val="center"/>
          </w:tcPr>
          <w:p>
            <w:pPr>
              <w:pStyle w:val="12"/>
            </w:pPr>
            <w:r>
              <w:t>9.64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18.99</w:t>
            </w:r>
          </w:p>
        </w:tc>
        <w:tc>
          <w:tcPr>
            <w:tcW w:w="1134" w:type="dxa"/>
            <w:vAlign w:val="center"/>
          </w:tcPr>
          <w:p>
            <w:pPr>
              <w:pStyle w:val="12"/>
            </w:pPr>
            <w:r>
              <w:t>18.99</w:t>
            </w:r>
          </w:p>
        </w:tc>
        <w:tc>
          <w:tcPr>
            <w:tcW w:w="1134" w:type="dxa"/>
            <w:vAlign w:val="center"/>
          </w:tcPr>
          <w:p>
            <w:pPr>
              <w:pStyle w:val="12"/>
            </w:pPr>
            <w:r>
              <w:t>18.99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160.85</w:t>
            </w:r>
          </w:p>
        </w:tc>
        <w:tc>
          <w:tcPr>
            <w:tcW w:w="1134" w:type="dxa"/>
            <w:vAlign w:val="center"/>
          </w:tcPr>
          <w:p>
            <w:pPr>
              <w:pStyle w:val="12"/>
            </w:pPr>
            <w:r>
              <w:t>160.85</w:t>
            </w:r>
          </w:p>
        </w:tc>
        <w:tc>
          <w:tcPr>
            <w:tcW w:w="1134" w:type="dxa"/>
            <w:vAlign w:val="center"/>
          </w:tcPr>
          <w:p>
            <w:pPr>
              <w:pStyle w:val="12"/>
            </w:pPr>
            <w:r>
              <w:t>160.85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21.35</w:t>
            </w:r>
          </w:p>
        </w:tc>
        <w:tc>
          <w:tcPr>
            <w:tcW w:w="1134" w:type="dxa"/>
            <w:vAlign w:val="center"/>
          </w:tcPr>
          <w:p>
            <w:pPr>
              <w:pStyle w:val="12"/>
            </w:pPr>
            <w:r>
              <w:t>21.35</w:t>
            </w:r>
          </w:p>
        </w:tc>
        <w:tc>
          <w:tcPr>
            <w:tcW w:w="1134" w:type="dxa"/>
            <w:vAlign w:val="center"/>
          </w:tcPr>
          <w:p>
            <w:pPr>
              <w:pStyle w:val="12"/>
            </w:pPr>
            <w:r>
              <w:t>21.35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5011.66</w:t>
            </w:r>
          </w:p>
        </w:tc>
        <w:tc>
          <w:tcPr>
            <w:tcW w:w="1134" w:type="dxa"/>
            <w:vAlign w:val="center"/>
          </w:tcPr>
          <w:p>
            <w:pPr>
              <w:pStyle w:val="12"/>
            </w:pPr>
            <w:r>
              <w:t>3072.24</w:t>
            </w:r>
          </w:p>
        </w:tc>
        <w:tc>
          <w:tcPr>
            <w:tcW w:w="1134" w:type="dxa"/>
            <w:vAlign w:val="center"/>
          </w:tcPr>
          <w:p>
            <w:pPr>
              <w:pStyle w:val="12"/>
            </w:pPr>
            <w:r>
              <w:t>3072.24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1939.42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73.83</w:t>
            </w:r>
          </w:p>
        </w:tc>
        <w:tc>
          <w:tcPr>
            <w:tcW w:w="1134" w:type="dxa"/>
            <w:vAlign w:val="center"/>
          </w:tcPr>
          <w:p>
            <w:pPr>
              <w:pStyle w:val="12"/>
            </w:pPr>
            <w:r>
              <w:t>73.83</w:t>
            </w:r>
          </w:p>
        </w:tc>
        <w:tc>
          <w:tcPr>
            <w:tcW w:w="1134" w:type="dxa"/>
            <w:vAlign w:val="center"/>
          </w:tcPr>
          <w:p>
            <w:pPr>
              <w:pStyle w:val="12"/>
            </w:pPr>
            <w:r>
              <w:t>73.83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26.13</w:t>
            </w:r>
          </w:p>
        </w:tc>
        <w:tc>
          <w:tcPr>
            <w:tcW w:w="1134" w:type="dxa"/>
            <w:vAlign w:val="center"/>
          </w:tcPr>
          <w:p>
            <w:pPr>
              <w:pStyle w:val="12"/>
            </w:pPr>
            <w:r>
              <w:t>26.13</w:t>
            </w:r>
          </w:p>
        </w:tc>
        <w:tc>
          <w:tcPr>
            <w:tcW w:w="1134" w:type="dxa"/>
            <w:vAlign w:val="center"/>
          </w:tcPr>
          <w:p>
            <w:pPr>
              <w:pStyle w:val="12"/>
            </w:pPr>
            <w:r>
              <w:t>26.13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41.31</w:t>
            </w:r>
          </w:p>
        </w:tc>
        <w:tc>
          <w:tcPr>
            <w:tcW w:w="1134" w:type="dxa"/>
            <w:vAlign w:val="center"/>
          </w:tcPr>
          <w:p>
            <w:pPr>
              <w:pStyle w:val="12"/>
            </w:pPr>
            <w:r>
              <w:t>41.31</w:t>
            </w:r>
          </w:p>
        </w:tc>
        <w:tc>
          <w:tcPr>
            <w:tcW w:w="1134" w:type="dxa"/>
            <w:vAlign w:val="center"/>
          </w:tcPr>
          <w:p>
            <w:pPr>
              <w:pStyle w:val="12"/>
            </w:pPr>
            <w:r>
              <w:t>41.31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6.39</w:t>
            </w:r>
          </w:p>
        </w:tc>
        <w:tc>
          <w:tcPr>
            <w:tcW w:w="1134" w:type="dxa"/>
            <w:vAlign w:val="center"/>
          </w:tcPr>
          <w:p>
            <w:pPr>
              <w:pStyle w:val="12"/>
            </w:pPr>
            <w:r>
              <w:t>6.39</w:t>
            </w:r>
          </w:p>
        </w:tc>
        <w:tc>
          <w:tcPr>
            <w:tcW w:w="1134" w:type="dxa"/>
            <w:vAlign w:val="center"/>
          </w:tcPr>
          <w:p>
            <w:pPr>
              <w:pStyle w:val="12"/>
            </w:pPr>
            <w:r>
              <w:t>6.39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1964.79</w:t>
            </w:r>
          </w:p>
        </w:tc>
        <w:tc>
          <w:tcPr>
            <w:tcW w:w="1134" w:type="dxa"/>
            <w:vAlign w:val="center"/>
          </w:tcPr>
          <w:p>
            <w:pPr>
              <w:pStyle w:val="12"/>
            </w:pPr>
            <w:r>
              <w:t>1964.79</w:t>
            </w:r>
          </w:p>
        </w:tc>
        <w:tc>
          <w:tcPr>
            <w:tcW w:w="1134" w:type="dxa"/>
            <w:vAlign w:val="center"/>
          </w:tcPr>
          <w:p>
            <w:pPr>
              <w:pStyle w:val="12"/>
            </w:pPr>
            <w:r>
              <w:t>1964.79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2101202</w:t>
            </w:r>
          </w:p>
        </w:tc>
        <w:tc>
          <w:tcPr>
            <w:tcW w:w="1559" w:type="dxa"/>
            <w:vAlign w:val="center"/>
          </w:tcPr>
          <w:p>
            <w:pPr>
              <w:pStyle w:val="13"/>
            </w:pPr>
            <w:r>
              <w:t>财政对城乡居民基本医疗保险基金的补助</w:t>
            </w:r>
          </w:p>
        </w:tc>
        <w:tc>
          <w:tcPr>
            <w:tcW w:w="1134" w:type="dxa"/>
            <w:vAlign w:val="center"/>
          </w:tcPr>
          <w:p>
            <w:pPr>
              <w:pStyle w:val="12"/>
            </w:pPr>
            <w:r>
              <w:t>1964.79</w:t>
            </w:r>
          </w:p>
        </w:tc>
        <w:tc>
          <w:tcPr>
            <w:tcW w:w="1134" w:type="dxa"/>
            <w:vAlign w:val="center"/>
          </w:tcPr>
          <w:p>
            <w:pPr>
              <w:pStyle w:val="12"/>
            </w:pPr>
            <w:r>
              <w:t>1964.79</w:t>
            </w:r>
          </w:p>
        </w:tc>
        <w:tc>
          <w:tcPr>
            <w:tcW w:w="1134" w:type="dxa"/>
            <w:vAlign w:val="center"/>
          </w:tcPr>
          <w:p>
            <w:pPr>
              <w:pStyle w:val="12"/>
            </w:pPr>
            <w:r>
              <w:t>1964.79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21013</w:t>
            </w:r>
          </w:p>
        </w:tc>
        <w:tc>
          <w:tcPr>
            <w:tcW w:w="1559" w:type="dxa"/>
            <w:vAlign w:val="center"/>
          </w:tcPr>
          <w:p>
            <w:pPr>
              <w:pStyle w:val="13"/>
            </w:pPr>
            <w:r>
              <w:t>医疗救助</w:t>
            </w:r>
          </w:p>
        </w:tc>
        <w:tc>
          <w:tcPr>
            <w:tcW w:w="1134" w:type="dxa"/>
            <w:vAlign w:val="center"/>
          </w:tcPr>
          <w:p>
            <w:pPr>
              <w:pStyle w:val="12"/>
            </w:pPr>
            <w:r>
              <w:t>1517.00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2101301</w:t>
            </w:r>
          </w:p>
        </w:tc>
        <w:tc>
          <w:tcPr>
            <w:tcW w:w="1559" w:type="dxa"/>
            <w:vAlign w:val="center"/>
          </w:tcPr>
          <w:p>
            <w:pPr>
              <w:pStyle w:val="13"/>
            </w:pPr>
            <w:r>
              <w:t>城乡医疗救助</w:t>
            </w:r>
          </w:p>
        </w:tc>
        <w:tc>
          <w:tcPr>
            <w:tcW w:w="1134" w:type="dxa"/>
            <w:vAlign w:val="center"/>
          </w:tcPr>
          <w:p>
            <w:pPr>
              <w:pStyle w:val="12"/>
            </w:pPr>
            <w:r>
              <w:t>1517.00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1456.04</w:t>
            </w:r>
          </w:p>
        </w:tc>
        <w:tc>
          <w:tcPr>
            <w:tcW w:w="1134" w:type="dxa"/>
            <w:vAlign w:val="center"/>
          </w:tcPr>
          <w:p>
            <w:pPr>
              <w:pStyle w:val="12"/>
            </w:pPr>
            <w:r>
              <w:t>1033.62</w:t>
            </w:r>
          </w:p>
        </w:tc>
        <w:tc>
          <w:tcPr>
            <w:tcW w:w="1134" w:type="dxa"/>
            <w:vAlign w:val="center"/>
          </w:tcPr>
          <w:p>
            <w:pPr>
              <w:pStyle w:val="12"/>
            </w:pPr>
            <w:r>
              <w:t>1033.62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957.62</w:t>
            </w:r>
          </w:p>
        </w:tc>
        <w:tc>
          <w:tcPr>
            <w:tcW w:w="1134" w:type="dxa"/>
            <w:vAlign w:val="center"/>
          </w:tcPr>
          <w:p>
            <w:pPr>
              <w:pStyle w:val="12"/>
            </w:pPr>
            <w:r>
              <w:t>957.62</w:t>
            </w:r>
          </w:p>
        </w:tc>
        <w:tc>
          <w:tcPr>
            <w:tcW w:w="1134" w:type="dxa"/>
            <w:vAlign w:val="center"/>
          </w:tcPr>
          <w:p>
            <w:pPr>
              <w:pStyle w:val="12"/>
            </w:pPr>
            <w:r>
              <w:t>957.62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2101502</w:t>
            </w:r>
          </w:p>
        </w:tc>
        <w:tc>
          <w:tcPr>
            <w:tcW w:w="1559" w:type="dxa"/>
            <w:vAlign w:val="center"/>
          </w:tcPr>
          <w:p>
            <w:pPr>
              <w:pStyle w:val="13"/>
            </w:pPr>
            <w:r>
              <w:t>一般行政管理事务</w:t>
            </w:r>
          </w:p>
        </w:tc>
        <w:tc>
          <w:tcPr>
            <w:tcW w:w="1134" w:type="dxa"/>
            <w:vAlign w:val="center"/>
          </w:tcPr>
          <w:p>
            <w:pPr>
              <w:pStyle w:val="12"/>
            </w:pPr>
            <w:r>
              <w:t>498.25</w:t>
            </w:r>
          </w:p>
        </w:tc>
        <w:tc>
          <w:tcPr>
            <w:tcW w:w="1134" w:type="dxa"/>
            <w:vAlign w:val="center"/>
          </w:tcPr>
          <w:p>
            <w:pPr>
              <w:pStyle w:val="12"/>
            </w:pPr>
            <w:r>
              <w:t>76.00</w:t>
            </w:r>
          </w:p>
        </w:tc>
        <w:tc>
          <w:tcPr>
            <w:tcW w:w="1134" w:type="dxa"/>
            <w:vAlign w:val="center"/>
          </w:tcPr>
          <w:p>
            <w:pPr>
              <w:pStyle w:val="12"/>
            </w:pPr>
            <w:r>
              <w:t>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2101599</w:t>
            </w:r>
          </w:p>
        </w:tc>
        <w:tc>
          <w:tcPr>
            <w:tcW w:w="1559" w:type="dxa"/>
            <w:vAlign w:val="center"/>
          </w:tcPr>
          <w:p>
            <w:pPr>
              <w:pStyle w:val="13"/>
            </w:pPr>
            <w:r>
              <w:t>其他医疗保障管理事务支出</w:t>
            </w:r>
          </w:p>
        </w:tc>
        <w:tc>
          <w:tcPr>
            <w:tcW w:w="1134" w:type="dxa"/>
            <w:vAlign w:val="center"/>
          </w:tcPr>
          <w:p>
            <w:pPr>
              <w:pStyle w:val="12"/>
            </w:pPr>
            <w:r>
              <w:t>0.17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128.67</w:t>
            </w:r>
          </w:p>
        </w:tc>
        <w:tc>
          <w:tcPr>
            <w:tcW w:w="1134" w:type="dxa"/>
            <w:vAlign w:val="center"/>
          </w:tcPr>
          <w:p>
            <w:pPr>
              <w:pStyle w:val="12"/>
            </w:pPr>
            <w:r>
              <w:t>128.67</w:t>
            </w:r>
          </w:p>
        </w:tc>
        <w:tc>
          <w:tcPr>
            <w:tcW w:w="1134" w:type="dxa"/>
            <w:vAlign w:val="center"/>
          </w:tcPr>
          <w:p>
            <w:pPr>
              <w:pStyle w:val="12"/>
            </w:pPr>
            <w:r>
              <w:t>128.67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128.67</w:t>
            </w:r>
          </w:p>
        </w:tc>
        <w:tc>
          <w:tcPr>
            <w:tcW w:w="1134" w:type="dxa"/>
            <w:vAlign w:val="center"/>
          </w:tcPr>
          <w:p>
            <w:pPr>
              <w:pStyle w:val="12"/>
            </w:pPr>
            <w:r>
              <w:t>128.67</w:t>
            </w:r>
          </w:p>
        </w:tc>
        <w:tc>
          <w:tcPr>
            <w:tcW w:w="1134" w:type="dxa"/>
            <w:vAlign w:val="center"/>
          </w:tcPr>
          <w:p>
            <w:pPr>
              <w:pStyle w:val="12"/>
            </w:pPr>
            <w:r>
              <w:t>128.67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128.67</w:t>
            </w:r>
          </w:p>
        </w:tc>
        <w:tc>
          <w:tcPr>
            <w:tcW w:w="1134" w:type="dxa"/>
            <w:vAlign w:val="center"/>
          </w:tcPr>
          <w:p>
            <w:pPr>
              <w:pStyle w:val="12"/>
            </w:pPr>
            <w:r>
              <w:t>128.67</w:t>
            </w:r>
          </w:p>
        </w:tc>
        <w:tc>
          <w:tcPr>
            <w:tcW w:w="1134" w:type="dxa"/>
            <w:vAlign w:val="center"/>
          </w:tcPr>
          <w:p>
            <w:pPr>
              <w:pStyle w:val="12"/>
            </w:pPr>
            <w:r>
              <w:t>128.67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447承德市医疗保障局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9473.74</w:t>
            </w:r>
          </w:p>
        </w:tc>
        <w:tc>
          <w:tcPr>
            <w:tcW w:w="1361" w:type="dxa"/>
            <w:vAlign w:val="center"/>
          </w:tcPr>
          <w:p>
            <w:pPr>
              <w:pStyle w:val="16"/>
            </w:pPr>
            <w:r>
              <w:t>1789.03</w:t>
            </w:r>
          </w:p>
        </w:tc>
        <w:tc>
          <w:tcPr>
            <w:tcW w:w="1361" w:type="dxa"/>
            <w:vAlign w:val="center"/>
          </w:tcPr>
          <w:p>
            <w:pPr>
              <w:pStyle w:val="16"/>
            </w:pPr>
            <w:r>
              <w:t>7684.71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3210.00</w:t>
            </w:r>
          </w:p>
        </w:tc>
        <w:tc>
          <w:tcPr>
            <w:tcW w:w="1361" w:type="dxa"/>
            <w:vAlign w:val="center"/>
          </w:tcPr>
          <w:p>
            <w:pPr>
              <w:pStyle w:val="12"/>
            </w:pPr>
          </w:p>
        </w:tc>
        <w:tc>
          <w:tcPr>
            <w:tcW w:w="1361" w:type="dxa"/>
            <w:vAlign w:val="center"/>
          </w:tcPr>
          <w:p>
            <w:pPr>
              <w:pStyle w:val="12"/>
            </w:pPr>
            <w:r>
              <w:t>3210.00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3210.00</w:t>
            </w:r>
          </w:p>
        </w:tc>
        <w:tc>
          <w:tcPr>
            <w:tcW w:w="1361" w:type="dxa"/>
            <w:vAlign w:val="center"/>
          </w:tcPr>
          <w:p>
            <w:pPr>
              <w:pStyle w:val="12"/>
            </w:pPr>
          </w:p>
        </w:tc>
        <w:tc>
          <w:tcPr>
            <w:tcW w:w="1361" w:type="dxa"/>
            <w:vAlign w:val="center"/>
          </w:tcPr>
          <w:p>
            <w:pPr>
              <w:pStyle w:val="12"/>
            </w:pPr>
            <w:r>
              <w:t>3210.00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2013904</w:t>
            </w:r>
          </w:p>
        </w:tc>
        <w:tc>
          <w:tcPr>
            <w:tcW w:w="4535" w:type="dxa"/>
            <w:vAlign w:val="center"/>
          </w:tcPr>
          <w:p>
            <w:pPr>
              <w:pStyle w:val="13"/>
            </w:pPr>
            <w:r>
              <w:t>专项业务</w:t>
            </w:r>
          </w:p>
        </w:tc>
        <w:tc>
          <w:tcPr>
            <w:tcW w:w="1361" w:type="dxa"/>
            <w:vAlign w:val="center"/>
          </w:tcPr>
          <w:p>
            <w:pPr>
              <w:pStyle w:val="12"/>
            </w:pPr>
            <w:r>
              <w:t>3210.00</w:t>
            </w:r>
          </w:p>
        </w:tc>
        <w:tc>
          <w:tcPr>
            <w:tcW w:w="1361" w:type="dxa"/>
            <w:vAlign w:val="center"/>
          </w:tcPr>
          <w:p>
            <w:pPr>
              <w:pStyle w:val="12"/>
            </w:pPr>
          </w:p>
        </w:tc>
        <w:tc>
          <w:tcPr>
            <w:tcW w:w="1361" w:type="dxa"/>
            <w:vAlign w:val="center"/>
          </w:tcPr>
          <w:p>
            <w:pPr>
              <w:pStyle w:val="12"/>
            </w:pPr>
            <w:r>
              <w:t>3210.00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1123.41</w:t>
            </w:r>
          </w:p>
        </w:tc>
        <w:tc>
          <w:tcPr>
            <w:tcW w:w="1361" w:type="dxa"/>
            <w:vAlign w:val="center"/>
          </w:tcPr>
          <w:p>
            <w:pPr>
              <w:pStyle w:val="12"/>
            </w:pPr>
            <w:r>
              <w:t>1030.91</w:t>
            </w:r>
          </w:p>
        </w:tc>
        <w:tc>
          <w:tcPr>
            <w:tcW w:w="1361" w:type="dxa"/>
            <w:vAlign w:val="center"/>
          </w:tcPr>
          <w:p>
            <w:pPr>
              <w:pStyle w:val="12"/>
            </w:pPr>
            <w:r>
              <w:t>92.50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912.58</w:t>
            </w:r>
          </w:p>
        </w:tc>
        <w:tc>
          <w:tcPr>
            <w:tcW w:w="1361" w:type="dxa"/>
            <w:vAlign w:val="center"/>
          </w:tcPr>
          <w:p>
            <w:pPr>
              <w:pStyle w:val="12"/>
            </w:pPr>
            <w:r>
              <w:t>820.08</w:t>
            </w:r>
          </w:p>
        </w:tc>
        <w:tc>
          <w:tcPr>
            <w:tcW w:w="1361" w:type="dxa"/>
            <w:vAlign w:val="center"/>
          </w:tcPr>
          <w:p>
            <w:pPr>
              <w:pStyle w:val="12"/>
            </w:pPr>
            <w:r>
              <w:t>92.50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2080109</w:t>
            </w:r>
          </w:p>
        </w:tc>
        <w:tc>
          <w:tcPr>
            <w:tcW w:w="4535" w:type="dxa"/>
            <w:vAlign w:val="center"/>
          </w:tcPr>
          <w:p>
            <w:pPr>
              <w:pStyle w:val="13"/>
            </w:pPr>
            <w:r>
              <w:t>社会保险经办机构</w:t>
            </w:r>
          </w:p>
        </w:tc>
        <w:tc>
          <w:tcPr>
            <w:tcW w:w="1361" w:type="dxa"/>
            <w:vAlign w:val="center"/>
          </w:tcPr>
          <w:p>
            <w:pPr>
              <w:pStyle w:val="12"/>
            </w:pPr>
            <w:r>
              <w:t>912.58</w:t>
            </w:r>
          </w:p>
        </w:tc>
        <w:tc>
          <w:tcPr>
            <w:tcW w:w="1361" w:type="dxa"/>
            <w:vAlign w:val="center"/>
          </w:tcPr>
          <w:p>
            <w:pPr>
              <w:pStyle w:val="12"/>
            </w:pPr>
            <w:r>
              <w:t>820.08</w:t>
            </w:r>
          </w:p>
        </w:tc>
        <w:tc>
          <w:tcPr>
            <w:tcW w:w="1361" w:type="dxa"/>
            <w:vAlign w:val="center"/>
          </w:tcPr>
          <w:p>
            <w:pPr>
              <w:pStyle w:val="12"/>
            </w:pPr>
            <w:r>
              <w:t>92.50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210.83</w:t>
            </w:r>
          </w:p>
        </w:tc>
        <w:tc>
          <w:tcPr>
            <w:tcW w:w="1361" w:type="dxa"/>
            <w:vAlign w:val="center"/>
          </w:tcPr>
          <w:p>
            <w:pPr>
              <w:pStyle w:val="12"/>
            </w:pPr>
            <w:r>
              <w:t>210.83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9.64</w:t>
            </w:r>
          </w:p>
        </w:tc>
        <w:tc>
          <w:tcPr>
            <w:tcW w:w="1361" w:type="dxa"/>
            <w:vAlign w:val="center"/>
          </w:tcPr>
          <w:p>
            <w:pPr>
              <w:pStyle w:val="12"/>
            </w:pPr>
            <w:r>
              <w:t>9.64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18.99</w:t>
            </w:r>
          </w:p>
        </w:tc>
        <w:tc>
          <w:tcPr>
            <w:tcW w:w="1361" w:type="dxa"/>
            <w:vAlign w:val="center"/>
          </w:tcPr>
          <w:p>
            <w:pPr>
              <w:pStyle w:val="12"/>
            </w:pPr>
            <w:r>
              <w:t>18.99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160.85</w:t>
            </w:r>
          </w:p>
        </w:tc>
        <w:tc>
          <w:tcPr>
            <w:tcW w:w="1361" w:type="dxa"/>
            <w:vAlign w:val="center"/>
          </w:tcPr>
          <w:p>
            <w:pPr>
              <w:pStyle w:val="12"/>
            </w:pPr>
            <w:r>
              <w:t>160.85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21.35</w:t>
            </w:r>
          </w:p>
        </w:tc>
        <w:tc>
          <w:tcPr>
            <w:tcW w:w="1361" w:type="dxa"/>
            <w:vAlign w:val="center"/>
          </w:tcPr>
          <w:p>
            <w:pPr>
              <w:pStyle w:val="12"/>
            </w:pPr>
            <w:r>
              <w:t>21.35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5011.66</w:t>
            </w:r>
          </w:p>
        </w:tc>
        <w:tc>
          <w:tcPr>
            <w:tcW w:w="1361" w:type="dxa"/>
            <w:vAlign w:val="center"/>
          </w:tcPr>
          <w:p>
            <w:pPr>
              <w:pStyle w:val="12"/>
            </w:pPr>
            <w:r>
              <w:t>629.45</w:t>
            </w:r>
          </w:p>
        </w:tc>
        <w:tc>
          <w:tcPr>
            <w:tcW w:w="1361" w:type="dxa"/>
            <w:vAlign w:val="center"/>
          </w:tcPr>
          <w:p>
            <w:pPr>
              <w:pStyle w:val="12"/>
            </w:pPr>
            <w:r>
              <w:t>4382.21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73.83</w:t>
            </w:r>
          </w:p>
        </w:tc>
        <w:tc>
          <w:tcPr>
            <w:tcW w:w="1361" w:type="dxa"/>
            <w:vAlign w:val="center"/>
          </w:tcPr>
          <w:p>
            <w:pPr>
              <w:pStyle w:val="12"/>
            </w:pPr>
            <w:r>
              <w:t>73.83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26.13</w:t>
            </w:r>
          </w:p>
        </w:tc>
        <w:tc>
          <w:tcPr>
            <w:tcW w:w="1361" w:type="dxa"/>
            <w:vAlign w:val="center"/>
          </w:tcPr>
          <w:p>
            <w:pPr>
              <w:pStyle w:val="12"/>
            </w:pPr>
            <w:r>
              <w:t>26.13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41.31</w:t>
            </w:r>
          </w:p>
        </w:tc>
        <w:tc>
          <w:tcPr>
            <w:tcW w:w="1361" w:type="dxa"/>
            <w:vAlign w:val="center"/>
          </w:tcPr>
          <w:p>
            <w:pPr>
              <w:pStyle w:val="12"/>
            </w:pPr>
            <w:r>
              <w:t>41.31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6.39</w:t>
            </w:r>
          </w:p>
        </w:tc>
        <w:tc>
          <w:tcPr>
            <w:tcW w:w="1361" w:type="dxa"/>
            <w:vAlign w:val="center"/>
          </w:tcPr>
          <w:p>
            <w:pPr>
              <w:pStyle w:val="12"/>
            </w:pPr>
            <w:r>
              <w:t>6.39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1964.79</w:t>
            </w:r>
          </w:p>
        </w:tc>
        <w:tc>
          <w:tcPr>
            <w:tcW w:w="1361" w:type="dxa"/>
            <w:vAlign w:val="center"/>
          </w:tcPr>
          <w:p>
            <w:pPr>
              <w:pStyle w:val="12"/>
            </w:pPr>
          </w:p>
        </w:tc>
        <w:tc>
          <w:tcPr>
            <w:tcW w:w="1361" w:type="dxa"/>
            <w:vAlign w:val="center"/>
          </w:tcPr>
          <w:p>
            <w:pPr>
              <w:pStyle w:val="12"/>
            </w:pPr>
            <w:r>
              <w:t>1964.79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2101202</w:t>
            </w:r>
          </w:p>
        </w:tc>
        <w:tc>
          <w:tcPr>
            <w:tcW w:w="4535" w:type="dxa"/>
            <w:vAlign w:val="center"/>
          </w:tcPr>
          <w:p>
            <w:pPr>
              <w:pStyle w:val="13"/>
            </w:pPr>
            <w:r>
              <w:t>财政对城乡居民基本医疗保险基金的补助</w:t>
            </w:r>
          </w:p>
        </w:tc>
        <w:tc>
          <w:tcPr>
            <w:tcW w:w="1361" w:type="dxa"/>
            <w:vAlign w:val="center"/>
          </w:tcPr>
          <w:p>
            <w:pPr>
              <w:pStyle w:val="12"/>
            </w:pPr>
            <w:r>
              <w:t>1964.79</w:t>
            </w:r>
          </w:p>
        </w:tc>
        <w:tc>
          <w:tcPr>
            <w:tcW w:w="1361" w:type="dxa"/>
            <w:vAlign w:val="center"/>
          </w:tcPr>
          <w:p>
            <w:pPr>
              <w:pStyle w:val="12"/>
            </w:pPr>
          </w:p>
        </w:tc>
        <w:tc>
          <w:tcPr>
            <w:tcW w:w="1361" w:type="dxa"/>
            <w:vAlign w:val="center"/>
          </w:tcPr>
          <w:p>
            <w:pPr>
              <w:pStyle w:val="12"/>
            </w:pPr>
            <w:r>
              <w:t>1964.79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21013</w:t>
            </w:r>
          </w:p>
        </w:tc>
        <w:tc>
          <w:tcPr>
            <w:tcW w:w="4535" w:type="dxa"/>
            <w:vAlign w:val="center"/>
          </w:tcPr>
          <w:p>
            <w:pPr>
              <w:pStyle w:val="13"/>
            </w:pPr>
            <w:r>
              <w:t>医疗救助</w:t>
            </w:r>
          </w:p>
        </w:tc>
        <w:tc>
          <w:tcPr>
            <w:tcW w:w="1361" w:type="dxa"/>
            <w:vAlign w:val="center"/>
          </w:tcPr>
          <w:p>
            <w:pPr>
              <w:pStyle w:val="12"/>
            </w:pPr>
            <w:r>
              <w:t>1517.00</w:t>
            </w:r>
          </w:p>
        </w:tc>
        <w:tc>
          <w:tcPr>
            <w:tcW w:w="1361" w:type="dxa"/>
            <w:vAlign w:val="center"/>
          </w:tcPr>
          <w:p>
            <w:pPr>
              <w:pStyle w:val="12"/>
            </w:pPr>
          </w:p>
        </w:tc>
        <w:tc>
          <w:tcPr>
            <w:tcW w:w="1361" w:type="dxa"/>
            <w:vAlign w:val="center"/>
          </w:tcPr>
          <w:p>
            <w:pPr>
              <w:pStyle w:val="12"/>
            </w:pPr>
            <w:r>
              <w:t>1517.00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2101301</w:t>
            </w:r>
          </w:p>
        </w:tc>
        <w:tc>
          <w:tcPr>
            <w:tcW w:w="4535" w:type="dxa"/>
            <w:vAlign w:val="center"/>
          </w:tcPr>
          <w:p>
            <w:pPr>
              <w:pStyle w:val="13"/>
            </w:pPr>
            <w:r>
              <w:t>城乡医疗救助</w:t>
            </w:r>
          </w:p>
        </w:tc>
        <w:tc>
          <w:tcPr>
            <w:tcW w:w="1361" w:type="dxa"/>
            <w:vAlign w:val="center"/>
          </w:tcPr>
          <w:p>
            <w:pPr>
              <w:pStyle w:val="12"/>
            </w:pPr>
            <w:r>
              <w:t>1517.00</w:t>
            </w:r>
          </w:p>
        </w:tc>
        <w:tc>
          <w:tcPr>
            <w:tcW w:w="1361" w:type="dxa"/>
            <w:vAlign w:val="center"/>
          </w:tcPr>
          <w:p>
            <w:pPr>
              <w:pStyle w:val="12"/>
            </w:pPr>
          </w:p>
        </w:tc>
        <w:tc>
          <w:tcPr>
            <w:tcW w:w="1361" w:type="dxa"/>
            <w:vAlign w:val="center"/>
          </w:tcPr>
          <w:p>
            <w:pPr>
              <w:pStyle w:val="12"/>
            </w:pPr>
            <w:r>
              <w:t>1517.00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1456.04</w:t>
            </w:r>
          </w:p>
        </w:tc>
        <w:tc>
          <w:tcPr>
            <w:tcW w:w="1361" w:type="dxa"/>
            <w:vAlign w:val="center"/>
          </w:tcPr>
          <w:p>
            <w:pPr>
              <w:pStyle w:val="12"/>
            </w:pPr>
            <w:r>
              <w:t>555.62</w:t>
            </w:r>
          </w:p>
        </w:tc>
        <w:tc>
          <w:tcPr>
            <w:tcW w:w="1361" w:type="dxa"/>
            <w:vAlign w:val="center"/>
          </w:tcPr>
          <w:p>
            <w:pPr>
              <w:pStyle w:val="12"/>
            </w:pPr>
            <w:r>
              <w:t>900.42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957.62</w:t>
            </w:r>
          </w:p>
        </w:tc>
        <w:tc>
          <w:tcPr>
            <w:tcW w:w="1361" w:type="dxa"/>
            <w:vAlign w:val="center"/>
          </w:tcPr>
          <w:p>
            <w:pPr>
              <w:pStyle w:val="12"/>
            </w:pPr>
            <w:r>
              <w:t>555.62</w:t>
            </w:r>
          </w:p>
        </w:tc>
        <w:tc>
          <w:tcPr>
            <w:tcW w:w="1361" w:type="dxa"/>
            <w:vAlign w:val="center"/>
          </w:tcPr>
          <w:p>
            <w:pPr>
              <w:pStyle w:val="12"/>
            </w:pPr>
            <w:r>
              <w:t>402.00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2101502</w:t>
            </w:r>
          </w:p>
        </w:tc>
        <w:tc>
          <w:tcPr>
            <w:tcW w:w="4535" w:type="dxa"/>
            <w:vAlign w:val="center"/>
          </w:tcPr>
          <w:p>
            <w:pPr>
              <w:pStyle w:val="13"/>
            </w:pPr>
            <w:r>
              <w:t>一般行政管理事务</w:t>
            </w:r>
          </w:p>
        </w:tc>
        <w:tc>
          <w:tcPr>
            <w:tcW w:w="1361" w:type="dxa"/>
            <w:vAlign w:val="center"/>
          </w:tcPr>
          <w:p>
            <w:pPr>
              <w:pStyle w:val="12"/>
            </w:pPr>
            <w:r>
              <w:t>498.25</w:t>
            </w:r>
          </w:p>
        </w:tc>
        <w:tc>
          <w:tcPr>
            <w:tcW w:w="1361" w:type="dxa"/>
            <w:vAlign w:val="center"/>
          </w:tcPr>
          <w:p>
            <w:pPr>
              <w:pStyle w:val="12"/>
            </w:pPr>
          </w:p>
        </w:tc>
        <w:tc>
          <w:tcPr>
            <w:tcW w:w="1361" w:type="dxa"/>
            <w:vAlign w:val="center"/>
          </w:tcPr>
          <w:p>
            <w:pPr>
              <w:pStyle w:val="12"/>
            </w:pPr>
            <w:r>
              <w:t>498.25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2101599</w:t>
            </w:r>
          </w:p>
        </w:tc>
        <w:tc>
          <w:tcPr>
            <w:tcW w:w="4535" w:type="dxa"/>
            <w:vAlign w:val="center"/>
          </w:tcPr>
          <w:p>
            <w:pPr>
              <w:pStyle w:val="13"/>
            </w:pPr>
            <w:r>
              <w:t>其他医疗保障管理事务支出</w:t>
            </w:r>
          </w:p>
        </w:tc>
        <w:tc>
          <w:tcPr>
            <w:tcW w:w="1361" w:type="dxa"/>
            <w:vAlign w:val="center"/>
          </w:tcPr>
          <w:p>
            <w:pPr>
              <w:pStyle w:val="12"/>
            </w:pPr>
            <w:r>
              <w:t>0.17</w:t>
            </w:r>
          </w:p>
        </w:tc>
        <w:tc>
          <w:tcPr>
            <w:tcW w:w="1361" w:type="dxa"/>
            <w:vAlign w:val="center"/>
          </w:tcPr>
          <w:p>
            <w:pPr>
              <w:pStyle w:val="12"/>
            </w:pPr>
          </w:p>
        </w:tc>
        <w:tc>
          <w:tcPr>
            <w:tcW w:w="1361" w:type="dxa"/>
            <w:vAlign w:val="center"/>
          </w:tcPr>
          <w:p>
            <w:pPr>
              <w:pStyle w:val="12"/>
            </w:pPr>
            <w:r>
              <w:t>0.17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128.67</w:t>
            </w:r>
          </w:p>
        </w:tc>
        <w:tc>
          <w:tcPr>
            <w:tcW w:w="1361" w:type="dxa"/>
            <w:vAlign w:val="center"/>
          </w:tcPr>
          <w:p>
            <w:pPr>
              <w:pStyle w:val="12"/>
            </w:pPr>
            <w:r>
              <w:t>128.67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128.67</w:t>
            </w:r>
          </w:p>
        </w:tc>
        <w:tc>
          <w:tcPr>
            <w:tcW w:w="1361" w:type="dxa"/>
            <w:vAlign w:val="center"/>
          </w:tcPr>
          <w:p>
            <w:pPr>
              <w:pStyle w:val="12"/>
            </w:pPr>
            <w:r>
              <w:t>128.67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128.67</w:t>
            </w:r>
          </w:p>
        </w:tc>
        <w:tc>
          <w:tcPr>
            <w:tcW w:w="1361" w:type="dxa"/>
            <w:vAlign w:val="center"/>
          </w:tcPr>
          <w:p>
            <w:pPr>
              <w:pStyle w:val="12"/>
            </w:pPr>
            <w:r>
              <w:t>128.67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447承德市医疗保障局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7534.32</w:t>
            </w:r>
          </w:p>
        </w:tc>
        <w:tc>
          <w:tcPr>
            <w:tcW w:w="3402" w:type="dxa"/>
            <w:vAlign w:val="center"/>
          </w:tcPr>
          <w:p>
            <w:pPr>
              <w:pStyle w:val="13"/>
            </w:pPr>
            <w:r>
              <w:t>一、一般公共服务支出</w:t>
            </w:r>
          </w:p>
        </w:tc>
        <w:tc>
          <w:tcPr>
            <w:tcW w:w="1474" w:type="dxa"/>
            <w:vAlign w:val="center"/>
          </w:tcPr>
          <w:p>
            <w:pPr>
              <w:pStyle w:val="12"/>
            </w:pPr>
            <w:r>
              <w:t>3210.00</w:t>
            </w:r>
          </w:p>
        </w:tc>
        <w:tc>
          <w:tcPr>
            <w:tcW w:w="1474" w:type="dxa"/>
            <w:vAlign w:val="center"/>
          </w:tcPr>
          <w:p>
            <w:pPr>
              <w:pStyle w:val="12"/>
            </w:pPr>
            <w:r>
              <w:t>3210.00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1123.41</w:t>
            </w:r>
          </w:p>
        </w:tc>
        <w:tc>
          <w:tcPr>
            <w:tcW w:w="1474" w:type="dxa"/>
            <w:vAlign w:val="center"/>
          </w:tcPr>
          <w:p>
            <w:pPr>
              <w:pStyle w:val="12"/>
            </w:pPr>
            <w:r>
              <w:t>1123.41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5011.66</w:t>
            </w:r>
          </w:p>
        </w:tc>
        <w:tc>
          <w:tcPr>
            <w:tcW w:w="1474" w:type="dxa"/>
            <w:vAlign w:val="center"/>
          </w:tcPr>
          <w:p>
            <w:pPr>
              <w:pStyle w:val="12"/>
            </w:pPr>
            <w:r>
              <w:t>5011.66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128.67</w:t>
            </w:r>
          </w:p>
        </w:tc>
        <w:tc>
          <w:tcPr>
            <w:tcW w:w="1474" w:type="dxa"/>
            <w:vAlign w:val="center"/>
          </w:tcPr>
          <w:p>
            <w:pPr>
              <w:pStyle w:val="12"/>
            </w:pPr>
            <w:r>
              <w:t>128.67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7534.32</w:t>
            </w:r>
          </w:p>
        </w:tc>
        <w:tc>
          <w:tcPr>
            <w:tcW w:w="3402" w:type="dxa"/>
            <w:vAlign w:val="center"/>
          </w:tcPr>
          <w:p>
            <w:pPr>
              <w:pStyle w:val="15"/>
            </w:pPr>
            <w:r>
              <w:t>本年支出合计</w:t>
            </w:r>
          </w:p>
        </w:tc>
        <w:tc>
          <w:tcPr>
            <w:tcW w:w="1474" w:type="dxa"/>
            <w:vAlign w:val="center"/>
          </w:tcPr>
          <w:p>
            <w:pPr>
              <w:pStyle w:val="16"/>
            </w:pPr>
            <w:r>
              <w:t>9473.74</w:t>
            </w:r>
          </w:p>
        </w:tc>
        <w:tc>
          <w:tcPr>
            <w:tcW w:w="1474" w:type="dxa"/>
            <w:vAlign w:val="center"/>
          </w:tcPr>
          <w:p>
            <w:pPr>
              <w:pStyle w:val="16"/>
            </w:pPr>
            <w:r>
              <w:t>9473.74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1939.42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1939.42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9473.74</w:t>
            </w:r>
          </w:p>
        </w:tc>
        <w:tc>
          <w:tcPr>
            <w:tcW w:w="3402" w:type="dxa"/>
            <w:vAlign w:val="center"/>
          </w:tcPr>
          <w:p>
            <w:pPr>
              <w:pStyle w:val="15"/>
            </w:pPr>
            <w:r>
              <w:t>支出总计</w:t>
            </w:r>
          </w:p>
        </w:tc>
        <w:tc>
          <w:tcPr>
            <w:tcW w:w="1474" w:type="dxa"/>
            <w:vAlign w:val="center"/>
          </w:tcPr>
          <w:p>
            <w:pPr>
              <w:pStyle w:val="16"/>
            </w:pPr>
            <w:r>
              <w:t>9473.74</w:t>
            </w:r>
          </w:p>
        </w:tc>
        <w:tc>
          <w:tcPr>
            <w:tcW w:w="1474" w:type="dxa"/>
            <w:vAlign w:val="center"/>
          </w:tcPr>
          <w:p>
            <w:pPr>
              <w:pStyle w:val="16"/>
            </w:pPr>
            <w:r>
              <w:t>9473.74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447承德市医疗保障局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9473.74</w:t>
            </w:r>
          </w:p>
        </w:tc>
        <w:tc>
          <w:tcPr>
            <w:tcW w:w="2551" w:type="dxa"/>
            <w:vAlign w:val="center"/>
          </w:tcPr>
          <w:p>
            <w:pPr>
              <w:pStyle w:val="16"/>
            </w:pPr>
            <w:r>
              <w:t>1789.03</w:t>
            </w:r>
          </w:p>
        </w:tc>
        <w:tc>
          <w:tcPr>
            <w:tcW w:w="2551" w:type="dxa"/>
            <w:vAlign w:val="center"/>
          </w:tcPr>
          <w:p>
            <w:pPr>
              <w:pStyle w:val="16"/>
            </w:pPr>
            <w:r>
              <w:t>7684.71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3210.00</w:t>
            </w:r>
          </w:p>
        </w:tc>
        <w:tc>
          <w:tcPr>
            <w:tcW w:w="2551" w:type="dxa"/>
            <w:vAlign w:val="center"/>
          </w:tcPr>
          <w:p>
            <w:pPr>
              <w:pStyle w:val="12"/>
            </w:pPr>
          </w:p>
        </w:tc>
        <w:tc>
          <w:tcPr>
            <w:tcW w:w="2551" w:type="dxa"/>
            <w:vAlign w:val="center"/>
          </w:tcPr>
          <w:p>
            <w:pPr>
              <w:pStyle w:val="12"/>
            </w:pPr>
            <w:r>
              <w:t>3210.00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3210.00</w:t>
            </w:r>
          </w:p>
        </w:tc>
        <w:tc>
          <w:tcPr>
            <w:tcW w:w="2551" w:type="dxa"/>
            <w:vAlign w:val="center"/>
          </w:tcPr>
          <w:p>
            <w:pPr>
              <w:pStyle w:val="12"/>
            </w:pPr>
          </w:p>
        </w:tc>
        <w:tc>
          <w:tcPr>
            <w:tcW w:w="2551" w:type="dxa"/>
            <w:vAlign w:val="center"/>
          </w:tcPr>
          <w:p>
            <w:pPr>
              <w:pStyle w:val="12"/>
            </w:pPr>
            <w:r>
              <w:t>3210.00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2013904</w:t>
            </w:r>
          </w:p>
        </w:tc>
        <w:tc>
          <w:tcPr>
            <w:tcW w:w="4535" w:type="dxa"/>
            <w:vAlign w:val="center"/>
          </w:tcPr>
          <w:p>
            <w:pPr>
              <w:pStyle w:val="13"/>
            </w:pPr>
            <w:r>
              <w:t>专项业务</w:t>
            </w:r>
          </w:p>
        </w:tc>
        <w:tc>
          <w:tcPr>
            <w:tcW w:w="2551" w:type="dxa"/>
            <w:vAlign w:val="center"/>
          </w:tcPr>
          <w:p>
            <w:pPr>
              <w:pStyle w:val="12"/>
            </w:pPr>
            <w:r>
              <w:t>3210.00</w:t>
            </w:r>
          </w:p>
        </w:tc>
        <w:tc>
          <w:tcPr>
            <w:tcW w:w="2551" w:type="dxa"/>
            <w:vAlign w:val="center"/>
          </w:tcPr>
          <w:p>
            <w:pPr>
              <w:pStyle w:val="12"/>
            </w:pPr>
          </w:p>
        </w:tc>
        <w:tc>
          <w:tcPr>
            <w:tcW w:w="2551" w:type="dxa"/>
            <w:vAlign w:val="center"/>
          </w:tcPr>
          <w:p>
            <w:pPr>
              <w:pStyle w:val="12"/>
            </w:pPr>
            <w:r>
              <w:t>3210.00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1123.41</w:t>
            </w:r>
          </w:p>
        </w:tc>
        <w:tc>
          <w:tcPr>
            <w:tcW w:w="2551" w:type="dxa"/>
            <w:vAlign w:val="center"/>
          </w:tcPr>
          <w:p>
            <w:pPr>
              <w:pStyle w:val="12"/>
            </w:pPr>
            <w:r>
              <w:t>1030.91</w:t>
            </w:r>
          </w:p>
        </w:tc>
        <w:tc>
          <w:tcPr>
            <w:tcW w:w="2551" w:type="dxa"/>
            <w:vAlign w:val="center"/>
          </w:tcPr>
          <w:p>
            <w:pPr>
              <w:pStyle w:val="12"/>
            </w:pPr>
            <w:r>
              <w:t>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912.58</w:t>
            </w:r>
          </w:p>
        </w:tc>
        <w:tc>
          <w:tcPr>
            <w:tcW w:w="2551" w:type="dxa"/>
            <w:vAlign w:val="center"/>
          </w:tcPr>
          <w:p>
            <w:pPr>
              <w:pStyle w:val="12"/>
            </w:pPr>
            <w:r>
              <w:t>820.08</w:t>
            </w:r>
          </w:p>
        </w:tc>
        <w:tc>
          <w:tcPr>
            <w:tcW w:w="2551" w:type="dxa"/>
            <w:vAlign w:val="center"/>
          </w:tcPr>
          <w:p>
            <w:pPr>
              <w:pStyle w:val="12"/>
            </w:pPr>
            <w:r>
              <w:t>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2080109</w:t>
            </w:r>
          </w:p>
        </w:tc>
        <w:tc>
          <w:tcPr>
            <w:tcW w:w="4535" w:type="dxa"/>
            <w:vAlign w:val="center"/>
          </w:tcPr>
          <w:p>
            <w:pPr>
              <w:pStyle w:val="13"/>
            </w:pPr>
            <w:r>
              <w:t>社会保险经办机构</w:t>
            </w:r>
          </w:p>
        </w:tc>
        <w:tc>
          <w:tcPr>
            <w:tcW w:w="2551" w:type="dxa"/>
            <w:vAlign w:val="center"/>
          </w:tcPr>
          <w:p>
            <w:pPr>
              <w:pStyle w:val="12"/>
            </w:pPr>
            <w:r>
              <w:t>912.58</w:t>
            </w:r>
          </w:p>
        </w:tc>
        <w:tc>
          <w:tcPr>
            <w:tcW w:w="2551" w:type="dxa"/>
            <w:vAlign w:val="center"/>
          </w:tcPr>
          <w:p>
            <w:pPr>
              <w:pStyle w:val="12"/>
            </w:pPr>
            <w:r>
              <w:t>820.08</w:t>
            </w:r>
          </w:p>
        </w:tc>
        <w:tc>
          <w:tcPr>
            <w:tcW w:w="2551" w:type="dxa"/>
            <w:vAlign w:val="center"/>
          </w:tcPr>
          <w:p>
            <w:pPr>
              <w:pStyle w:val="12"/>
            </w:pPr>
            <w:r>
              <w:t>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210.83</w:t>
            </w:r>
          </w:p>
        </w:tc>
        <w:tc>
          <w:tcPr>
            <w:tcW w:w="2551" w:type="dxa"/>
            <w:vAlign w:val="center"/>
          </w:tcPr>
          <w:p>
            <w:pPr>
              <w:pStyle w:val="12"/>
            </w:pPr>
            <w:r>
              <w:t>210.83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9.64</w:t>
            </w:r>
          </w:p>
        </w:tc>
        <w:tc>
          <w:tcPr>
            <w:tcW w:w="2551" w:type="dxa"/>
            <w:vAlign w:val="center"/>
          </w:tcPr>
          <w:p>
            <w:pPr>
              <w:pStyle w:val="12"/>
            </w:pPr>
            <w:r>
              <w:t>9.64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18.99</w:t>
            </w:r>
          </w:p>
        </w:tc>
        <w:tc>
          <w:tcPr>
            <w:tcW w:w="2551" w:type="dxa"/>
            <w:vAlign w:val="center"/>
          </w:tcPr>
          <w:p>
            <w:pPr>
              <w:pStyle w:val="12"/>
            </w:pPr>
            <w:r>
              <w:t>18.99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160.85</w:t>
            </w:r>
          </w:p>
        </w:tc>
        <w:tc>
          <w:tcPr>
            <w:tcW w:w="2551" w:type="dxa"/>
            <w:vAlign w:val="center"/>
          </w:tcPr>
          <w:p>
            <w:pPr>
              <w:pStyle w:val="12"/>
            </w:pPr>
            <w:r>
              <w:t>160.85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21.35</w:t>
            </w:r>
          </w:p>
        </w:tc>
        <w:tc>
          <w:tcPr>
            <w:tcW w:w="2551" w:type="dxa"/>
            <w:vAlign w:val="center"/>
          </w:tcPr>
          <w:p>
            <w:pPr>
              <w:pStyle w:val="12"/>
            </w:pPr>
            <w:r>
              <w:t>21.35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5011.66</w:t>
            </w:r>
          </w:p>
        </w:tc>
        <w:tc>
          <w:tcPr>
            <w:tcW w:w="2551" w:type="dxa"/>
            <w:vAlign w:val="center"/>
          </w:tcPr>
          <w:p>
            <w:pPr>
              <w:pStyle w:val="12"/>
            </w:pPr>
            <w:r>
              <w:t>629.45</w:t>
            </w:r>
          </w:p>
        </w:tc>
        <w:tc>
          <w:tcPr>
            <w:tcW w:w="2551" w:type="dxa"/>
            <w:vAlign w:val="center"/>
          </w:tcPr>
          <w:p>
            <w:pPr>
              <w:pStyle w:val="12"/>
            </w:pPr>
            <w:r>
              <w:t>4382.21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73.83</w:t>
            </w:r>
          </w:p>
        </w:tc>
        <w:tc>
          <w:tcPr>
            <w:tcW w:w="2551" w:type="dxa"/>
            <w:vAlign w:val="center"/>
          </w:tcPr>
          <w:p>
            <w:pPr>
              <w:pStyle w:val="12"/>
            </w:pPr>
            <w:r>
              <w:t>73.83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26.13</w:t>
            </w:r>
          </w:p>
        </w:tc>
        <w:tc>
          <w:tcPr>
            <w:tcW w:w="2551" w:type="dxa"/>
            <w:vAlign w:val="center"/>
          </w:tcPr>
          <w:p>
            <w:pPr>
              <w:pStyle w:val="12"/>
            </w:pPr>
            <w:r>
              <w:t>26.13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41.31</w:t>
            </w:r>
          </w:p>
        </w:tc>
        <w:tc>
          <w:tcPr>
            <w:tcW w:w="2551" w:type="dxa"/>
            <w:vAlign w:val="center"/>
          </w:tcPr>
          <w:p>
            <w:pPr>
              <w:pStyle w:val="12"/>
            </w:pPr>
            <w:r>
              <w:t>41.31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6.39</w:t>
            </w:r>
          </w:p>
        </w:tc>
        <w:tc>
          <w:tcPr>
            <w:tcW w:w="2551" w:type="dxa"/>
            <w:vAlign w:val="center"/>
          </w:tcPr>
          <w:p>
            <w:pPr>
              <w:pStyle w:val="12"/>
            </w:pPr>
            <w:r>
              <w:t>6.39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1964.79</w:t>
            </w:r>
          </w:p>
        </w:tc>
        <w:tc>
          <w:tcPr>
            <w:tcW w:w="2551" w:type="dxa"/>
            <w:vAlign w:val="center"/>
          </w:tcPr>
          <w:p>
            <w:pPr>
              <w:pStyle w:val="12"/>
            </w:pPr>
          </w:p>
        </w:tc>
        <w:tc>
          <w:tcPr>
            <w:tcW w:w="2551" w:type="dxa"/>
            <w:vAlign w:val="center"/>
          </w:tcPr>
          <w:p>
            <w:pPr>
              <w:pStyle w:val="12"/>
            </w:pPr>
            <w:r>
              <w:t>1964.79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2101202</w:t>
            </w:r>
          </w:p>
        </w:tc>
        <w:tc>
          <w:tcPr>
            <w:tcW w:w="4535" w:type="dxa"/>
            <w:vAlign w:val="center"/>
          </w:tcPr>
          <w:p>
            <w:pPr>
              <w:pStyle w:val="13"/>
            </w:pPr>
            <w:r>
              <w:t>财政对城乡居民基本医疗保险基金的补助</w:t>
            </w:r>
          </w:p>
        </w:tc>
        <w:tc>
          <w:tcPr>
            <w:tcW w:w="2551" w:type="dxa"/>
            <w:vAlign w:val="center"/>
          </w:tcPr>
          <w:p>
            <w:pPr>
              <w:pStyle w:val="12"/>
            </w:pPr>
            <w:r>
              <w:t>1964.79</w:t>
            </w:r>
          </w:p>
        </w:tc>
        <w:tc>
          <w:tcPr>
            <w:tcW w:w="2551" w:type="dxa"/>
            <w:vAlign w:val="center"/>
          </w:tcPr>
          <w:p>
            <w:pPr>
              <w:pStyle w:val="12"/>
            </w:pPr>
          </w:p>
        </w:tc>
        <w:tc>
          <w:tcPr>
            <w:tcW w:w="2551" w:type="dxa"/>
            <w:vAlign w:val="center"/>
          </w:tcPr>
          <w:p>
            <w:pPr>
              <w:pStyle w:val="12"/>
            </w:pPr>
            <w:r>
              <w:t>1964.79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21013</w:t>
            </w:r>
          </w:p>
        </w:tc>
        <w:tc>
          <w:tcPr>
            <w:tcW w:w="4535" w:type="dxa"/>
            <w:vAlign w:val="center"/>
          </w:tcPr>
          <w:p>
            <w:pPr>
              <w:pStyle w:val="13"/>
            </w:pPr>
            <w:r>
              <w:t>医疗救助</w:t>
            </w:r>
          </w:p>
        </w:tc>
        <w:tc>
          <w:tcPr>
            <w:tcW w:w="2551" w:type="dxa"/>
            <w:vAlign w:val="center"/>
          </w:tcPr>
          <w:p>
            <w:pPr>
              <w:pStyle w:val="12"/>
            </w:pPr>
            <w:r>
              <w:t>1517.00</w:t>
            </w:r>
          </w:p>
        </w:tc>
        <w:tc>
          <w:tcPr>
            <w:tcW w:w="2551" w:type="dxa"/>
            <w:vAlign w:val="center"/>
          </w:tcPr>
          <w:p>
            <w:pPr>
              <w:pStyle w:val="12"/>
            </w:pPr>
          </w:p>
        </w:tc>
        <w:tc>
          <w:tcPr>
            <w:tcW w:w="2551" w:type="dxa"/>
            <w:vAlign w:val="center"/>
          </w:tcPr>
          <w:p>
            <w:pPr>
              <w:pStyle w:val="12"/>
            </w:pPr>
            <w:r>
              <w:t>1517.00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2101301</w:t>
            </w:r>
          </w:p>
        </w:tc>
        <w:tc>
          <w:tcPr>
            <w:tcW w:w="4535" w:type="dxa"/>
            <w:vAlign w:val="center"/>
          </w:tcPr>
          <w:p>
            <w:pPr>
              <w:pStyle w:val="13"/>
            </w:pPr>
            <w:r>
              <w:t>城乡医疗救助</w:t>
            </w:r>
          </w:p>
        </w:tc>
        <w:tc>
          <w:tcPr>
            <w:tcW w:w="2551" w:type="dxa"/>
            <w:vAlign w:val="center"/>
          </w:tcPr>
          <w:p>
            <w:pPr>
              <w:pStyle w:val="12"/>
            </w:pPr>
            <w:r>
              <w:t>1517.00</w:t>
            </w:r>
          </w:p>
        </w:tc>
        <w:tc>
          <w:tcPr>
            <w:tcW w:w="2551" w:type="dxa"/>
            <w:vAlign w:val="center"/>
          </w:tcPr>
          <w:p>
            <w:pPr>
              <w:pStyle w:val="12"/>
            </w:pPr>
          </w:p>
        </w:tc>
        <w:tc>
          <w:tcPr>
            <w:tcW w:w="2551" w:type="dxa"/>
            <w:vAlign w:val="center"/>
          </w:tcPr>
          <w:p>
            <w:pPr>
              <w:pStyle w:val="12"/>
            </w:pPr>
            <w:r>
              <w:t>1517.00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1456.04</w:t>
            </w:r>
          </w:p>
        </w:tc>
        <w:tc>
          <w:tcPr>
            <w:tcW w:w="2551" w:type="dxa"/>
            <w:vAlign w:val="center"/>
          </w:tcPr>
          <w:p>
            <w:pPr>
              <w:pStyle w:val="12"/>
            </w:pPr>
            <w:r>
              <w:t>555.62</w:t>
            </w:r>
          </w:p>
        </w:tc>
        <w:tc>
          <w:tcPr>
            <w:tcW w:w="2551" w:type="dxa"/>
            <w:vAlign w:val="center"/>
          </w:tcPr>
          <w:p>
            <w:pPr>
              <w:pStyle w:val="12"/>
            </w:pPr>
            <w:r>
              <w:t>900.42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957.62</w:t>
            </w:r>
          </w:p>
        </w:tc>
        <w:tc>
          <w:tcPr>
            <w:tcW w:w="2551" w:type="dxa"/>
            <w:vAlign w:val="center"/>
          </w:tcPr>
          <w:p>
            <w:pPr>
              <w:pStyle w:val="12"/>
            </w:pPr>
            <w:r>
              <w:t>555.62</w:t>
            </w:r>
          </w:p>
        </w:tc>
        <w:tc>
          <w:tcPr>
            <w:tcW w:w="2551" w:type="dxa"/>
            <w:vAlign w:val="center"/>
          </w:tcPr>
          <w:p>
            <w:pPr>
              <w:pStyle w:val="12"/>
            </w:pPr>
            <w:r>
              <w:t>402.00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2101502</w:t>
            </w:r>
          </w:p>
        </w:tc>
        <w:tc>
          <w:tcPr>
            <w:tcW w:w="4535" w:type="dxa"/>
            <w:vAlign w:val="center"/>
          </w:tcPr>
          <w:p>
            <w:pPr>
              <w:pStyle w:val="13"/>
            </w:pPr>
            <w:r>
              <w:t>一般行政管理事务</w:t>
            </w:r>
          </w:p>
        </w:tc>
        <w:tc>
          <w:tcPr>
            <w:tcW w:w="2551" w:type="dxa"/>
            <w:vAlign w:val="center"/>
          </w:tcPr>
          <w:p>
            <w:pPr>
              <w:pStyle w:val="12"/>
            </w:pPr>
            <w:r>
              <w:t>498.25</w:t>
            </w:r>
          </w:p>
        </w:tc>
        <w:tc>
          <w:tcPr>
            <w:tcW w:w="2551" w:type="dxa"/>
            <w:vAlign w:val="center"/>
          </w:tcPr>
          <w:p>
            <w:pPr>
              <w:pStyle w:val="12"/>
            </w:pPr>
          </w:p>
        </w:tc>
        <w:tc>
          <w:tcPr>
            <w:tcW w:w="2551" w:type="dxa"/>
            <w:vAlign w:val="center"/>
          </w:tcPr>
          <w:p>
            <w:pPr>
              <w:pStyle w:val="12"/>
            </w:pPr>
            <w:r>
              <w:t>498.25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2101599</w:t>
            </w:r>
          </w:p>
        </w:tc>
        <w:tc>
          <w:tcPr>
            <w:tcW w:w="4535" w:type="dxa"/>
            <w:vAlign w:val="center"/>
          </w:tcPr>
          <w:p>
            <w:pPr>
              <w:pStyle w:val="13"/>
            </w:pPr>
            <w:r>
              <w:t>其他医疗保障管理事务支出</w:t>
            </w:r>
          </w:p>
        </w:tc>
        <w:tc>
          <w:tcPr>
            <w:tcW w:w="2551" w:type="dxa"/>
            <w:vAlign w:val="center"/>
          </w:tcPr>
          <w:p>
            <w:pPr>
              <w:pStyle w:val="12"/>
            </w:pPr>
            <w:r>
              <w:t>0.17</w:t>
            </w:r>
          </w:p>
        </w:tc>
        <w:tc>
          <w:tcPr>
            <w:tcW w:w="2551" w:type="dxa"/>
            <w:vAlign w:val="center"/>
          </w:tcPr>
          <w:p>
            <w:pPr>
              <w:pStyle w:val="12"/>
            </w:pPr>
          </w:p>
        </w:tc>
        <w:tc>
          <w:tcPr>
            <w:tcW w:w="2551" w:type="dxa"/>
            <w:vAlign w:val="center"/>
          </w:tcPr>
          <w:p>
            <w:pPr>
              <w:pStyle w:val="12"/>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128.67</w:t>
            </w:r>
          </w:p>
        </w:tc>
        <w:tc>
          <w:tcPr>
            <w:tcW w:w="2551" w:type="dxa"/>
            <w:vAlign w:val="center"/>
          </w:tcPr>
          <w:p>
            <w:pPr>
              <w:pStyle w:val="12"/>
            </w:pPr>
            <w:r>
              <w:t>128.67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128.67</w:t>
            </w:r>
          </w:p>
        </w:tc>
        <w:tc>
          <w:tcPr>
            <w:tcW w:w="2551" w:type="dxa"/>
            <w:vAlign w:val="center"/>
          </w:tcPr>
          <w:p>
            <w:pPr>
              <w:pStyle w:val="12"/>
            </w:pPr>
            <w:r>
              <w:t>128.67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128.67</w:t>
            </w:r>
          </w:p>
        </w:tc>
        <w:tc>
          <w:tcPr>
            <w:tcW w:w="2551" w:type="dxa"/>
            <w:vAlign w:val="center"/>
          </w:tcPr>
          <w:p>
            <w:pPr>
              <w:pStyle w:val="12"/>
            </w:pPr>
            <w:r>
              <w:t>128.67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447承德市医疗保障局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1789.03</w:t>
            </w:r>
          </w:p>
        </w:tc>
        <w:tc>
          <w:tcPr>
            <w:tcW w:w="2551" w:type="dxa"/>
            <w:vAlign w:val="center"/>
          </w:tcPr>
          <w:p>
            <w:pPr>
              <w:pStyle w:val="16"/>
            </w:pPr>
            <w:r>
              <w:t>1692.56</w:t>
            </w:r>
          </w:p>
        </w:tc>
        <w:tc>
          <w:tcPr>
            <w:tcW w:w="2551" w:type="dxa"/>
            <w:vAlign w:val="center"/>
          </w:tcPr>
          <w:p>
            <w:pPr>
              <w:pStyle w:val="16"/>
            </w:pPr>
            <w:r>
              <w:t>96.47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1666.64</w:t>
            </w:r>
          </w:p>
        </w:tc>
        <w:tc>
          <w:tcPr>
            <w:tcW w:w="2551" w:type="dxa"/>
            <w:vAlign w:val="center"/>
          </w:tcPr>
          <w:p>
            <w:pPr>
              <w:pStyle w:val="12"/>
            </w:pPr>
            <w:r>
              <w:t>1666.64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463.00</w:t>
            </w:r>
          </w:p>
        </w:tc>
        <w:tc>
          <w:tcPr>
            <w:tcW w:w="2551" w:type="dxa"/>
            <w:vAlign w:val="center"/>
          </w:tcPr>
          <w:p>
            <w:pPr>
              <w:pStyle w:val="12"/>
            </w:pPr>
            <w:r>
              <w:t>463.00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143.67</w:t>
            </w:r>
          </w:p>
        </w:tc>
        <w:tc>
          <w:tcPr>
            <w:tcW w:w="2551" w:type="dxa"/>
            <w:vAlign w:val="center"/>
          </w:tcPr>
          <w:p>
            <w:pPr>
              <w:pStyle w:val="12"/>
            </w:pPr>
            <w:r>
              <w:t>143.67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38.18</w:t>
            </w:r>
          </w:p>
        </w:tc>
        <w:tc>
          <w:tcPr>
            <w:tcW w:w="2551" w:type="dxa"/>
            <w:vAlign w:val="center"/>
          </w:tcPr>
          <w:p>
            <w:pPr>
              <w:pStyle w:val="12"/>
            </w:pPr>
            <w:r>
              <w:t>38.18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333.12</w:t>
            </w:r>
          </w:p>
        </w:tc>
        <w:tc>
          <w:tcPr>
            <w:tcW w:w="2551" w:type="dxa"/>
            <w:vAlign w:val="center"/>
          </w:tcPr>
          <w:p>
            <w:pPr>
              <w:pStyle w:val="12"/>
            </w:pPr>
            <w:r>
              <w:t>333.12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118.15</w:t>
            </w:r>
          </w:p>
        </w:tc>
        <w:tc>
          <w:tcPr>
            <w:tcW w:w="2551" w:type="dxa"/>
            <w:vAlign w:val="center"/>
          </w:tcPr>
          <w:p>
            <w:pPr>
              <w:pStyle w:val="12"/>
            </w:pPr>
            <w:r>
              <w:t>118.15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48.42</w:t>
            </w:r>
          </w:p>
        </w:tc>
        <w:tc>
          <w:tcPr>
            <w:tcW w:w="2551" w:type="dxa"/>
            <w:vAlign w:val="center"/>
          </w:tcPr>
          <w:p>
            <w:pPr>
              <w:pStyle w:val="12"/>
            </w:pPr>
            <w:r>
              <w:t>48.42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6.39</w:t>
            </w:r>
          </w:p>
        </w:tc>
        <w:tc>
          <w:tcPr>
            <w:tcW w:w="2551" w:type="dxa"/>
            <w:vAlign w:val="center"/>
          </w:tcPr>
          <w:p>
            <w:pPr>
              <w:pStyle w:val="12"/>
            </w:pPr>
            <w:r>
              <w:t>6.39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7.29</w:t>
            </w:r>
          </w:p>
        </w:tc>
        <w:tc>
          <w:tcPr>
            <w:tcW w:w="2551" w:type="dxa"/>
            <w:vAlign w:val="center"/>
          </w:tcPr>
          <w:p>
            <w:pPr>
              <w:pStyle w:val="12"/>
            </w:pPr>
            <w:r>
              <w:t>7.29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94.44</w:t>
            </w:r>
          </w:p>
        </w:tc>
        <w:tc>
          <w:tcPr>
            <w:tcW w:w="2551" w:type="dxa"/>
            <w:vAlign w:val="center"/>
          </w:tcPr>
          <w:p>
            <w:pPr>
              <w:pStyle w:val="12"/>
            </w:pPr>
            <w:r>
              <w:t>94.44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413.98</w:t>
            </w:r>
          </w:p>
        </w:tc>
        <w:tc>
          <w:tcPr>
            <w:tcW w:w="2551" w:type="dxa"/>
            <w:vAlign w:val="center"/>
          </w:tcPr>
          <w:p>
            <w:pPr>
              <w:pStyle w:val="12"/>
            </w:pPr>
            <w:r>
              <w:t>413.98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96.47</w:t>
            </w:r>
          </w:p>
        </w:tc>
        <w:tc>
          <w:tcPr>
            <w:tcW w:w="2551" w:type="dxa"/>
            <w:vAlign w:val="center"/>
          </w:tcPr>
          <w:p>
            <w:pPr>
              <w:pStyle w:val="12"/>
            </w:pPr>
          </w:p>
        </w:tc>
        <w:tc>
          <w:tcPr>
            <w:tcW w:w="2551" w:type="dxa"/>
            <w:vAlign w:val="center"/>
          </w:tcPr>
          <w:p>
            <w:pPr>
              <w:pStyle w:val="12"/>
            </w:pPr>
            <w:r>
              <w:t>96.47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17.02</w:t>
            </w:r>
          </w:p>
        </w:tc>
        <w:tc>
          <w:tcPr>
            <w:tcW w:w="2551" w:type="dxa"/>
            <w:vAlign w:val="center"/>
          </w:tcPr>
          <w:p>
            <w:pPr>
              <w:pStyle w:val="12"/>
            </w:pPr>
          </w:p>
        </w:tc>
        <w:tc>
          <w:tcPr>
            <w:tcW w:w="2551" w:type="dxa"/>
            <w:vAlign w:val="center"/>
          </w:tcPr>
          <w:p>
            <w:pPr>
              <w:pStyle w:val="12"/>
            </w:pPr>
            <w:r>
              <w:t>17.02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18.64</w:t>
            </w:r>
          </w:p>
        </w:tc>
        <w:tc>
          <w:tcPr>
            <w:tcW w:w="2551" w:type="dxa"/>
            <w:vAlign w:val="center"/>
          </w:tcPr>
          <w:p>
            <w:pPr>
              <w:pStyle w:val="12"/>
            </w:pPr>
          </w:p>
        </w:tc>
        <w:tc>
          <w:tcPr>
            <w:tcW w:w="2551" w:type="dxa"/>
            <w:vAlign w:val="center"/>
          </w:tcPr>
          <w:p>
            <w:pPr>
              <w:pStyle w:val="12"/>
            </w:pPr>
            <w:r>
              <w:t>18.64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14.80</w:t>
            </w:r>
          </w:p>
        </w:tc>
        <w:tc>
          <w:tcPr>
            <w:tcW w:w="2551" w:type="dxa"/>
            <w:vAlign w:val="center"/>
          </w:tcPr>
          <w:p>
            <w:pPr>
              <w:pStyle w:val="12"/>
            </w:pPr>
          </w:p>
        </w:tc>
        <w:tc>
          <w:tcPr>
            <w:tcW w:w="2551" w:type="dxa"/>
            <w:vAlign w:val="center"/>
          </w:tcPr>
          <w:p>
            <w:pPr>
              <w:pStyle w:val="12"/>
            </w:pPr>
            <w:r>
              <w:t>14.80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0.26</w:t>
            </w:r>
          </w:p>
        </w:tc>
        <w:tc>
          <w:tcPr>
            <w:tcW w:w="2551" w:type="dxa"/>
            <w:vAlign w:val="center"/>
          </w:tcPr>
          <w:p>
            <w:pPr>
              <w:pStyle w:val="12"/>
            </w:pPr>
          </w:p>
        </w:tc>
        <w:tc>
          <w:tcPr>
            <w:tcW w:w="2551" w:type="dxa"/>
            <w:vAlign w:val="center"/>
          </w:tcPr>
          <w:p>
            <w:pPr>
              <w:pStyle w:val="12"/>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10.42</w:t>
            </w:r>
          </w:p>
        </w:tc>
        <w:tc>
          <w:tcPr>
            <w:tcW w:w="2551" w:type="dxa"/>
            <w:vAlign w:val="center"/>
          </w:tcPr>
          <w:p>
            <w:pPr>
              <w:pStyle w:val="12"/>
            </w:pPr>
          </w:p>
        </w:tc>
        <w:tc>
          <w:tcPr>
            <w:tcW w:w="2551" w:type="dxa"/>
            <w:vAlign w:val="center"/>
          </w:tcPr>
          <w:p>
            <w:pPr>
              <w:pStyle w:val="12"/>
            </w:pPr>
            <w:r>
              <w:t>10.42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12.27</w:t>
            </w:r>
          </w:p>
        </w:tc>
        <w:tc>
          <w:tcPr>
            <w:tcW w:w="2551" w:type="dxa"/>
            <w:vAlign w:val="center"/>
          </w:tcPr>
          <w:p>
            <w:pPr>
              <w:pStyle w:val="12"/>
            </w:pPr>
          </w:p>
        </w:tc>
        <w:tc>
          <w:tcPr>
            <w:tcW w:w="2551" w:type="dxa"/>
            <w:vAlign w:val="center"/>
          </w:tcPr>
          <w:p>
            <w:pPr>
              <w:pStyle w:val="12"/>
            </w:pPr>
            <w:r>
              <w:t>12.27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14.48</w:t>
            </w:r>
          </w:p>
        </w:tc>
        <w:tc>
          <w:tcPr>
            <w:tcW w:w="2551" w:type="dxa"/>
            <w:vAlign w:val="center"/>
          </w:tcPr>
          <w:p>
            <w:pPr>
              <w:pStyle w:val="12"/>
            </w:pPr>
          </w:p>
        </w:tc>
        <w:tc>
          <w:tcPr>
            <w:tcW w:w="2551" w:type="dxa"/>
            <w:vAlign w:val="center"/>
          </w:tcPr>
          <w:p>
            <w:pPr>
              <w:pStyle w:val="12"/>
            </w:pPr>
            <w:r>
              <w:t>14.48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4.18</w:t>
            </w:r>
          </w:p>
        </w:tc>
        <w:tc>
          <w:tcPr>
            <w:tcW w:w="2551" w:type="dxa"/>
            <w:vAlign w:val="center"/>
          </w:tcPr>
          <w:p>
            <w:pPr>
              <w:pStyle w:val="12"/>
            </w:pPr>
          </w:p>
        </w:tc>
        <w:tc>
          <w:tcPr>
            <w:tcW w:w="2551" w:type="dxa"/>
            <w:vAlign w:val="center"/>
          </w:tcPr>
          <w:p>
            <w:pPr>
              <w:pStyle w:val="12"/>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25.92</w:t>
            </w:r>
          </w:p>
        </w:tc>
        <w:tc>
          <w:tcPr>
            <w:tcW w:w="2551" w:type="dxa"/>
            <w:vAlign w:val="center"/>
          </w:tcPr>
          <w:p>
            <w:pPr>
              <w:pStyle w:val="12"/>
            </w:pPr>
            <w:r>
              <w:t>25.92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25.92</w:t>
            </w:r>
          </w:p>
        </w:tc>
        <w:tc>
          <w:tcPr>
            <w:tcW w:w="2551" w:type="dxa"/>
            <w:vAlign w:val="center"/>
          </w:tcPr>
          <w:p>
            <w:pPr>
              <w:pStyle w:val="12"/>
            </w:pPr>
            <w:r>
              <w:t>25.92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447承德市医疗保障局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447承德市医疗保障局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447承德市医疗保障局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1.66</w:t>
            </w:r>
          </w:p>
        </w:tc>
        <w:tc>
          <w:tcPr>
            <w:tcW w:w="2381" w:type="dxa"/>
            <w:vAlign w:val="center"/>
          </w:tcPr>
          <w:p>
            <w:pPr>
              <w:pStyle w:val="16"/>
            </w:pPr>
            <w:r>
              <w:t>1.66</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1.66</w:t>
            </w:r>
          </w:p>
        </w:tc>
        <w:tc>
          <w:tcPr>
            <w:tcW w:w="2381" w:type="dxa"/>
            <w:vAlign w:val="center"/>
          </w:tcPr>
          <w:p>
            <w:pPr>
              <w:pStyle w:val="12"/>
            </w:pPr>
            <w:r>
              <w:t>1.66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1.40</w:t>
            </w:r>
          </w:p>
        </w:tc>
        <w:tc>
          <w:tcPr>
            <w:tcW w:w="2381" w:type="dxa"/>
            <w:vAlign w:val="center"/>
          </w:tcPr>
          <w:p>
            <w:pPr>
              <w:pStyle w:val="12"/>
            </w:pPr>
            <w:r>
              <w:t>1.40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1.40</w:t>
            </w:r>
          </w:p>
        </w:tc>
        <w:tc>
          <w:tcPr>
            <w:tcW w:w="2381" w:type="dxa"/>
            <w:vAlign w:val="center"/>
          </w:tcPr>
          <w:p>
            <w:pPr>
              <w:pStyle w:val="12"/>
            </w:pPr>
            <w:r>
              <w:t>1.40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0.26</w:t>
            </w:r>
          </w:p>
        </w:tc>
        <w:tc>
          <w:tcPr>
            <w:tcW w:w="2381" w:type="dxa"/>
            <w:vAlign w:val="center"/>
          </w:tcPr>
          <w:p>
            <w:pPr>
              <w:pStyle w:val="12"/>
            </w:pPr>
            <w:r>
              <w:t>0.26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承德市医疗保障局2025年部门预算信息公开情况说明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承德市医疗保障局2025年部门预算信息公开情况说明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按照《中华人民共和国预算法》、《地方预决算公开操作规程》和《关于进一步推进预算公开工作的实施意见》规定，现将承德市医疗保障局2025年部门预算公开如下：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根据《承德市医疗保障局职能配置、内设机构和人员编制规定》，承德市医疗保障局的主要职责是：</w:t>
      </w:r>
    </w:p>
    <w:p>
      <w:pPr>
        <w:pStyle w:val="18"/>
      </w:pPr>
      <w:r>
        <w:t>（一）拟订全市城镇职工和城乡居民医疗保险、生育保险、大病保险、医疗救助等医疗保障政策、制度、规划和标准。</w:t>
      </w:r>
    </w:p>
    <w:p>
      <w:pPr>
        <w:pStyle w:val="18"/>
      </w:pPr>
      <w:r>
        <w:t>（二）拟订完善全市医疗保障基金监督管理办法，建立健全医疗保障基金安全防控机制，组织建设智能监控平台，推进医疗保障基金支付方式改革，并组织实施。</w:t>
      </w:r>
    </w:p>
    <w:p>
      <w:pPr>
        <w:pStyle w:val="18"/>
      </w:pPr>
      <w:r>
        <w:t>（三）组织制定全市城镇职工、城乡居民参保筹资和保障待遇政策，统筹城乡医疗保障政策标准，建立健全与筹资水平相适应的待遇调整机制。拟订全市长期护理保险制度方案及政策标准并组织实施。</w:t>
      </w:r>
    </w:p>
    <w:p>
      <w:pPr>
        <w:pStyle w:val="18"/>
      </w:pPr>
      <w:r>
        <w:t>（四）贯彻执行全省城乡统一的药品、医用耗材、医疗服务项目、医疗服务设施等医保目录，组织制定全市统一的药品、医用耗材、医疗服务项目、医疗服务设施的医保支付标准并组织实施，建立动态调整机制。</w:t>
      </w:r>
    </w:p>
    <w:p>
      <w:pPr>
        <w:pStyle w:val="18"/>
      </w:pPr>
      <w:r>
        <w:t>（五）贯彻落实省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8"/>
      </w:pPr>
      <w:r>
        <w:t>（六）贯彻落实省药品、医用耗材的招标采购政策并组织监督实施。</w:t>
      </w:r>
    </w:p>
    <w:p>
      <w:pPr>
        <w:pStyle w:val="18"/>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18"/>
      </w:pPr>
      <w:r>
        <w:t>（八）负责医疗保障经办管理、公共服务体系和信息化建设。落实和完善异地就医管理和费用结算政策并组织实施。建立健全医疗保障关系转移接续制度。</w:t>
      </w:r>
    </w:p>
    <w:p>
      <w:pPr>
        <w:pStyle w:val="18"/>
      </w:pPr>
      <w:r>
        <w:t>（九）完成市委、市政府交办的其他任务。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承德市医疗保障局本级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承德市医疗保险基金管理结算中心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承德市城乡居民基本医疗保险基金管理结算中心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按照预算管理有关规定，目前部门预算的编制实行综合预算管理，即全部收入和支出都反映在预算中。承德市医疗保障局机关及所属事业单位的收支包含在部门预算中。</w:t>
      </w:r>
    </w:p>
    <w:p>
      <w:pPr>
        <w:pStyle w:val="19"/>
      </w:pPr>
      <w:r>
        <w:t>1、收入说明</w:t>
      </w:r>
    </w:p>
    <w:p>
      <w:pPr>
        <w:pStyle w:val="19"/>
      </w:pPr>
      <w:r>
        <w:t>反映本部门当年全部收入。2025年预算收入9473.74万元，其中：一般公共预算收入7534.32万元，基金预算收入0.00万元，国有资本经营预算收入0.00万元，财政专户核拨收入0.00万元，单位资金收入0.00万元，上年结转结余1939.42万元。</w:t>
      </w:r>
    </w:p>
    <w:p>
      <w:pPr>
        <w:pStyle w:val="19"/>
      </w:pPr>
      <w:r>
        <w:t>2、支出说明</w:t>
      </w:r>
    </w:p>
    <w:p>
      <w:pPr>
        <w:pStyle w:val="19"/>
      </w:pPr>
      <w:r>
        <w:t>收支预算总表支出栏、基本支出表、项目支出表按经济分类和支出功能分类科目编制，反映承德市医疗保障局年度部门预算中支出预算的总体情况。2025年支出预算9473.74万元，其中基本支出1789.03万元，包括人员经费1692.56万元和日常公用经费96.47万元；项目支出7684.71万元，主要为</w:t>
      </w:r>
    </w:p>
    <w:p>
      <w:pPr>
        <w:pStyle w:val="19"/>
      </w:pPr>
      <w:r>
        <w:t>1、2024年度医保服务大厅人员经费项目：财政年初预算资金59.5万元</w:t>
      </w:r>
    </w:p>
    <w:p>
      <w:pPr>
        <w:pStyle w:val="19"/>
      </w:pPr>
      <w:r>
        <w:t>2、2024年度医保经办服务大厅运行经费项目:财政年初预算资金50万元</w:t>
      </w:r>
    </w:p>
    <w:p>
      <w:pPr>
        <w:pStyle w:val="19"/>
      </w:pPr>
      <w:r>
        <w:t>3、2024年度医疗保障管理和业务工作经费项目：财政年初预算安排资金23万元</w:t>
      </w:r>
    </w:p>
    <w:p>
      <w:pPr>
        <w:pStyle w:val="19"/>
      </w:pPr>
      <w:r>
        <w:t>4、2024年医保基金监管专项经费项目：财政年初预算安排资金3万元</w:t>
      </w:r>
    </w:p>
    <w:p>
      <w:pPr>
        <w:pStyle w:val="19"/>
      </w:pPr>
      <w:r>
        <w:t>5、2024年度意外伤害认定经费项目：市本级年初预算金额为6万元</w:t>
      </w:r>
    </w:p>
    <w:p>
      <w:pPr>
        <w:pStyle w:val="19"/>
      </w:pPr>
      <w:r>
        <w:t>6、2024年度居民医保管理工作经费项目:财政年初预算安排资金9万元</w:t>
      </w:r>
    </w:p>
    <w:p>
      <w:pPr>
        <w:pStyle w:val="19"/>
      </w:pPr>
      <w:r>
        <w:t>7、2024年度职工医保管理工作经费项目:财政年初预算安排资金18万元</w:t>
      </w:r>
    </w:p>
    <w:p>
      <w:pPr>
        <w:pStyle w:val="19"/>
      </w:pPr>
      <w:r>
        <w:t>8、市级领导干部医药费（含二级巡视员）、燕赵英才服务A卡持有人医保待遇资金项目:财政年初预算资金210万元</w:t>
      </w:r>
    </w:p>
    <w:p>
      <w:pPr>
        <w:pStyle w:val="19"/>
      </w:pPr>
      <w:r>
        <w:t>9、行政事业单位职工医疗保险（补缴以前年度欠缴职工医保资金）项目：财政年初预算资金3000万元</w:t>
      </w:r>
    </w:p>
    <w:p>
      <w:pPr>
        <w:pStyle w:val="19"/>
      </w:pPr>
      <w:r>
        <w:t>10、2024年度城乡居民医疗保险财政补助资金项目：财政年初预算资金1964.79万元</w:t>
      </w:r>
    </w:p>
    <w:p>
      <w:pPr>
        <w:pStyle w:val="19"/>
      </w:pPr>
      <w:r>
        <w:t>11、困难群众基本生活补助1517万元</w:t>
      </w:r>
    </w:p>
    <w:p>
      <w:pPr>
        <w:pStyle w:val="19"/>
      </w:pPr>
      <w:r>
        <w:t>医疗服务与保障能力提升补助资金402万元</w:t>
      </w:r>
    </w:p>
    <w:p>
      <w:pPr>
        <w:pStyle w:val="19"/>
      </w:pPr>
      <w:r>
        <w:t>中央服务医疗保障能力提升416.18万元为上年度结转项目资金</w:t>
      </w:r>
    </w:p>
    <w:p>
      <w:pPr>
        <w:pStyle w:val="19"/>
      </w:pPr>
      <w:r>
        <w:t>医疗保障管理和业务工作经费6.24万元，为上年度结转项目资金</w:t>
      </w:r>
    </w:p>
    <w:p>
      <w:pPr>
        <w:pStyle w:val="19"/>
      </w:pPr>
      <w:r>
        <w:t>3、比上年增减情况</w:t>
      </w:r>
    </w:p>
    <w:p>
      <w:pPr>
        <w:pStyle w:val="19"/>
      </w:pPr>
      <w:r>
        <w:t>2025年预算收支安排9473.74万元，较2024年预算减少1602.01万元，其中：基本支出增加85.78万元，主要为2025预算收支安排没有困难群众基本生活补助1517万元，后接到通知将其纳入2025年预算项目。基本支出中2025人员经费支出1692.56万元，上年人员经费支出1606.99万元，较上年增加85.57万元，主要是人员工资增加，日常公用经费支出96.47万元，上年日常公用经费支出96.26万元，较上年增加0.21万元，基本持平项目支出减少1687.79万元，主要为2025预算收支安排没有困难群众基本生活补助1517万元，后接到通知将其纳入2025年预算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2025年，我部门机关运行经费共计安排96.47万元，主要用于日常维修、办公用房水电费、办公用房取暖费、办公用房物业管理费等日常运行支出。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1.66万元，其中因公出国（境）费0.00万元；公务用车购置及运维费1.40万元（其中：公务用车购置费为0.00万元，公务用车运维费1.40万元)；公务接待费0.26万元。与2024年相比减少0.02万元，增减变化的主要原因是承德医疗保险基金管理结算中心公务接待较上年减少0.02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2025年，市医疗保障局坚持以习近平新时代中国特色社会主义思想为指导，全面贯彻落实习近平总书记视察河北重 要讲话精神，深入贯彻党中央、国务院和省委、省政府、省医保局决策部署，坚持尽力而为、量力而行，建立健全待遇政策动态调整机制，着力构建多层次医疗保障制度体系，精准精细实施医保基金监管，巩固提高患者住院实际报销比例行动成果，不断提升医保基金使用效率，更好实现让广大群众“看好病、少花钱、少跑腿”，不断提升人民群众医疗保障获得感、幸福感和安全感。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 xml:space="preserve">1.巩固城乡居民医疗待遇保障水平 </w:t>
      </w:r>
    </w:p>
    <w:p>
      <w:pPr>
        <w:pStyle w:val="23"/>
      </w:pPr>
      <w:r>
        <w:t>绩效目标：深入实施全民参保计划，确保全省基本医保参保率稳定在 95%以上；保障参保人员政策范围内住院费用 报销比例。</w:t>
      </w:r>
    </w:p>
    <w:p>
      <w:pPr>
        <w:pStyle w:val="23"/>
      </w:pPr>
      <w:r>
        <w:t>绩效指标：全省基本医疗保险参保率稳定在 95%；城乡居民参保患者政策范围内住院报销比例平均达到 70%。</w:t>
      </w:r>
    </w:p>
    <w:p>
      <w:pPr>
        <w:pStyle w:val="23"/>
      </w:pPr>
      <w:r>
        <w:t xml:space="preserve">2.健全完善多层次医疗保障体系 </w:t>
      </w:r>
    </w:p>
    <w:p>
      <w:pPr>
        <w:pStyle w:val="23"/>
      </w:pPr>
      <w:r>
        <w:t>绩效目标：着力构建多层次医疗保障制度体系，在完善基本医疗保险、大病保险、医疗救助“三重保障”制度基础 上，支持商业健康保险，有效对接慈善医疗，全力构建多层次、可持续、高质量医疗保障体系。</w:t>
      </w:r>
    </w:p>
    <w:p>
      <w:pPr>
        <w:pStyle w:val="23"/>
      </w:pPr>
      <w:r>
        <w:t>绩效指标：按照国家发布标准，稳步调整基本医保缴费筹资标准；继续做好长期护理保险试点工作，稳步建立长期 护理保险制度。</w:t>
      </w:r>
    </w:p>
    <w:p>
      <w:pPr>
        <w:pStyle w:val="23"/>
      </w:pPr>
      <w:r>
        <w:t xml:space="preserve">3.常态化制度化开展药品耗材集采 </w:t>
      </w:r>
    </w:p>
    <w:p>
      <w:pPr>
        <w:pStyle w:val="23"/>
      </w:pPr>
      <w:r>
        <w:t xml:space="preserve">绩效目标：坚持应采尽采，落实好国家组织药品耗材集采中选结果，推进跨区域联盟集采。 </w:t>
      </w:r>
    </w:p>
    <w:p>
      <w:pPr>
        <w:pStyle w:val="23"/>
      </w:pPr>
      <w:r>
        <w:t>绩效指标：加大省自行组织集采工作力度，全年开展一批药品集采和 40 种耗材集采。</w:t>
      </w:r>
    </w:p>
    <w:p>
      <w:pPr>
        <w:pStyle w:val="23"/>
      </w:pPr>
      <w:r>
        <w:t>4.深化医疗服务价格改革和管理</w:t>
      </w:r>
    </w:p>
    <w:p>
      <w:pPr>
        <w:pStyle w:val="23"/>
      </w:pPr>
      <w:r>
        <w:t>绩效目标：有序开展医疗服务价格动态调整评估工作，规范医疗服务价格项目管理。</w:t>
      </w:r>
    </w:p>
    <w:p>
      <w:pPr>
        <w:pStyle w:val="23"/>
      </w:pPr>
      <w:r>
        <w:t xml:space="preserve">绩效指标：做好城市公立医疗机构医疗服务价格动态调整评估，指导各县（市、区） 2025 年 完成县级及以下医疗机构 医疗服务价格动态调整评估工作。及时新增和修订医疗服务价格项目，使医疗服务价格项目更好适应临床诊疗和价格管 理需要。 </w:t>
      </w:r>
    </w:p>
    <w:p>
      <w:pPr>
        <w:pStyle w:val="23"/>
      </w:pPr>
      <w:r>
        <w:t xml:space="preserve">5.加强医保基金使用常态化监管 </w:t>
      </w:r>
    </w:p>
    <w:p>
      <w:pPr>
        <w:pStyle w:val="23"/>
      </w:pPr>
      <w:r>
        <w:t>绩效目标：持续开展专项整治，强化智能监管应用，提升监管工作的精准度和覆盖面，切实维护基金安全。</w:t>
      </w:r>
    </w:p>
    <w:p>
      <w:pPr>
        <w:pStyle w:val="23"/>
      </w:pPr>
      <w:r>
        <w:t>绩效指标：统筹运用行政监管与经办稽核手段，通过自查自纠、日常稽核、现场检查等，持续加强医保基金使用管 理；对所辖县（市、区）飞行检查均不少于 2 家医药机构，实现市对县飞行检查范围全覆盖。</w:t>
      </w:r>
    </w:p>
    <w:p>
      <w:pPr>
        <w:pStyle w:val="23"/>
      </w:pPr>
      <w:r>
        <w:t>6.推进医保经办服务更加便民利民</w:t>
      </w:r>
    </w:p>
    <w:p>
      <w:pPr>
        <w:pStyle w:val="23"/>
      </w:pPr>
      <w:r>
        <w:t xml:space="preserve">绩效目标：优化医保政务服务事项办理流程，加快推进网上办理，简化手续、精简材料、压缩时限、创新服务模 式，推动医保服务更加便民利民。 </w:t>
      </w:r>
    </w:p>
    <w:p>
      <w:pPr>
        <w:pStyle w:val="23"/>
      </w:pPr>
      <w:r>
        <w:t xml:space="preserve">绩效指标：推广“自助药房”，完善河北智慧医保“云药店”功能建设，将“自助药房”纳入“云药店”可选购药范围，进一 步拓宽参保人购药渠道和便捷度。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市医保局深入学习贯彻党的二十届三中全会精神，以习近平新时代中国特色社会主义思想为指导，全面贯彻习近平总书记关于医疗保障工作重要论述和重要指示精神，认真落实中央省市决策部署，深入实施“11233”总体思路，加快推进“八个医保”建设，重点做好“优保障、重改革、强监管、提服务”四方面工作。</w:t>
      </w:r>
    </w:p>
    <w:p>
      <w:pPr>
        <w:pStyle w:val="24"/>
      </w:pPr>
      <w:r>
        <w:t>（一）优化整体保障。推进全民参保。提高筹资标准，建立激励机制，健全“一人一档”数据库，全民参保率稳定在95％以上，低收入人口参保率保持在99%以上。完善待遇政策。严格待遇清单制度，建立动态调整机制，发挥基本医保、大病保险、医疗救助综合保障效能，巩固长期护理保险试点成果。维护运行安全。坚持以收定支、收支平衡，严格预算管理、总额控制、风险预警、责任分担，确保基金可持续运行。</w:t>
      </w:r>
    </w:p>
    <w:p>
      <w:pPr>
        <w:pStyle w:val="24"/>
      </w:pPr>
      <w:r>
        <w:t>（二）深化重点改革。强化资源管理。制定规划，科学布局，合理配置县域医保资源。强化目录管理。第一时间落实国家新版药品目录，有序扩大医用耗材、医疗服务项目目录。强化支付管理。推进按病种分值付费改革，探索多元支付方式。强化价格管理。加强监测评估，实施动态调整，支持新增项目。强化采购管理。扩大药品、医用耗材集中带量采购范围，减轻群众负担，网采率稳定在90%以上。</w:t>
      </w:r>
    </w:p>
    <w:p>
      <w:pPr>
        <w:pStyle w:val="24"/>
      </w:pPr>
      <w:r>
        <w:t>（三）加强内部监督。坚持依法严管。严格定点准入、协议管理、日常检查、专项整治、联合惩戒，保持打击欺诈骗保高压态势，提高基金使用效益。坚持智能协管。开展大数据筛查分析，加快追溯码采集应用，规范电子处方流转。坚持行业自管。健全信用体系，推动自查自纠，实施资格管理，鼓励社会监督。</w:t>
      </w:r>
    </w:p>
    <w:p>
      <w:pPr>
        <w:pStyle w:val="24"/>
      </w:pPr>
      <w:r>
        <w:t>（四）加强宣传培训调研等。推进“一次通办”。简化程序、规范服务，推行综合柜员制，所有政务服务事项实现“一门、一窗、一次”办理。推进“自助智办”。信息赋能、拓宽渠道，推动更多服务事项网上办、掌上办、码上办。推进“就近快办”。强化基层、服务下沉，打通医保服务“最后一公里”。推进“接诉即办”。民有所呼、我有所应，解决群众急难愁盼，提高一次办结率和群众满意度。推进“个性帮办”。转变角色、换位思考，针对特殊群体，提供特色服务，满足多样化需求。</w:t>
      </w:r>
    </w:p>
    <w:p>
      <w:pPr>
        <w:pStyle w:val="24"/>
      </w:pPr>
      <w:r>
        <w:t>（五）加强绩效自评。我局按要求开展上年度预算绩效自评和重点评价工作，对评价中发现的问题及时整改，调整优化支出结构，提高财政资金使用效益</w:t>
      </w:r>
    </w:p>
    <w:p>
      <w:pPr>
        <w:pStyle w:val="24"/>
      </w:pPr>
      <w:r>
        <w:t>（六）加强绩效运行监控，做好绩效自评工作。按要求开展绩效运行监控，发现问题及时采取措施，确保绩效目标如期保质实现。开展好上年度部门预算绩效自评和重点评价工作，对评价中发现的问题及时整改，调整优化支出结构，提高财政资金使用效益。</w:t>
      </w:r>
    </w:p>
    <w:p>
      <w:pPr>
        <w:pStyle w:val="24"/>
        <w:sectPr>
          <w:pgSz w:w="16840" w:h="11900" w:orient="landscape"/>
          <w:pgMar w:top="1361" w:right="1020" w:bottom="1361" w:left="1020" w:header="720" w:footer="720" w:gutter="0"/>
        </w:sectPr>
      </w:pPr>
      <w:r>
        <w:t>（七）规范财务资产管理，加强内部监督。加强内部监督制度建设，由机关纪检委员任负责内部审计工作，分管审计工作领导部分管机关财务工作。同时，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意见；加大宣传力度，强化预算绩效管理意识，促进预算绩效管理水平进一步提升。坚持以责任传导压力，以责任推动落实。</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1171" w:firstLineChars="366"/>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bookmarkStart w:id="20" w:name="_GoBack"/>
      <w:bookmarkEnd w:id="20"/>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1、医保局机关及医保经办服务大厅运行项目经费绩效目标表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13080025P0066JH10003E</w:t>
            </w:r>
          </w:p>
        </w:tc>
        <w:tc>
          <w:tcPr>
            <w:tcW w:w="2835" w:type="dxa"/>
            <w:vAlign w:val="center"/>
          </w:tcPr>
          <w:p>
            <w:pPr>
              <w:pStyle w:val="11"/>
            </w:pPr>
            <w:r>
              <w:t>项目名称</w:t>
            </w:r>
          </w:p>
        </w:tc>
        <w:tc>
          <w:tcPr>
            <w:tcW w:w="6095" w:type="dxa"/>
            <w:gridSpan w:val="3"/>
            <w:vAlign w:val="center"/>
          </w:tcPr>
          <w:p>
            <w:pPr>
              <w:pStyle w:val="13"/>
            </w:pPr>
            <w:r>
              <w:t>医保局机关及医保经办服务大厅运行项目经费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合理安排财政资金支出计划，遵循单位财务规章制度，在预算内按进度支出；保障机关正常运转服务于机关全年目标任务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1.合理安排财政资金支出计划，遵循单位财务规章制度，在预算内按进度支出；保障机关正常运转服务于机关全年目标任务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工作日保障单位医保业务正常运行</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w:t>
            </w:r>
          </w:p>
        </w:tc>
        <w:tc>
          <w:tcPr>
            <w:tcW w:w="1276" w:type="dxa"/>
            <w:vAlign w:val="center"/>
          </w:tcPr>
          <w:p>
            <w:pPr>
              <w:pStyle w:val="13"/>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2025年12月28日前完成全部资金支付工作</w:t>
            </w:r>
          </w:p>
        </w:tc>
        <w:tc>
          <w:tcPr>
            <w:tcW w:w="2268" w:type="dxa"/>
            <w:vAlign w:val="center"/>
          </w:tcPr>
          <w:p>
            <w:pPr>
              <w:pStyle w:val="13"/>
            </w:pPr>
            <w:r>
              <w:t>截止到2025年12月28日前</w:t>
            </w:r>
          </w:p>
        </w:tc>
        <w:tc>
          <w:tcPr>
            <w:tcW w:w="1276" w:type="dxa"/>
            <w:vAlign w:val="center"/>
          </w:tcPr>
          <w:p>
            <w:pPr>
              <w:pStyle w:val="13"/>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运行成本50万</w:t>
            </w:r>
          </w:p>
        </w:tc>
        <w:tc>
          <w:tcPr>
            <w:tcW w:w="5386" w:type="dxa"/>
            <w:vAlign w:val="center"/>
          </w:tcPr>
          <w:p>
            <w:pPr>
              <w:pStyle w:val="13"/>
            </w:pPr>
            <w:r>
              <w:t>维修水、电、暖、物业等运行成本50万元</w:t>
            </w:r>
          </w:p>
        </w:tc>
        <w:tc>
          <w:tcPr>
            <w:tcW w:w="2268" w:type="dxa"/>
            <w:vAlign w:val="center"/>
          </w:tcPr>
          <w:p>
            <w:pPr>
              <w:pStyle w:val="13"/>
            </w:pPr>
            <w:r>
              <w:t>≤50万元</w:t>
            </w:r>
          </w:p>
        </w:tc>
        <w:tc>
          <w:tcPr>
            <w:tcW w:w="1276" w:type="dxa"/>
            <w:vAlign w:val="center"/>
          </w:tcPr>
          <w:p>
            <w:pPr>
              <w:pStyle w:val="13"/>
            </w:pPr>
            <w:r>
              <w:t>固定行政人均标准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提升公共服务质量</w:t>
            </w:r>
          </w:p>
        </w:tc>
        <w:tc>
          <w:tcPr>
            <w:tcW w:w="5386" w:type="dxa"/>
            <w:vAlign w:val="center"/>
          </w:tcPr>
          <w:p>
            <w:pPr>
              <w:pStyle w:val="13"/>
            </w:pPr>
            <w:r>
              <w:t>保障单位正常办公运转，提升医保服务能力</w:t>
            </w:r>
          </w:p>
        </w:tc>
        <w:tc>
          <w:tcPr>
            <w:tcW w:w="2268" w:type="dxa"/>
            <w:vAlign w:val="center"/>
          </w:tcPr>
          <w:p>
            <w:pPr>
              <w:pStyle w:val="13"/>
            </w:pPr>
            <w:r>
              <w:t>较上年度增加10%</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基本公共服务水平保持率</w:t>
            </w:r>
          </w:p>
        </w:tc>
        <w:tc>
          <w:tcPr>
            <w:tcW w:w="5386" w:type="dxa"/>
            <w:vAlign w:val="center"/>
          </w:tcPr>
          <w:p>
            <w:pPr>
              <w:pStyle w:val="13"/>
            </w:pPr>
            <w:r>
              <w:t>提升医疗保障公共服务水平</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2、医疗保障管理和业务工作经费绩效目标表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13080024P00012710002R</w:t>
            </w:r>
          </w:p>
        </w:tc>
        <w:tc>
          <w:tcPr>
            <w:tcW w:w="2835" w:type="dxa"/>
            <w:vAlign w:val="center"/>
          </w:tcPr>
          <w:p>
            <w:pPr>
              <w:pStyle w:val="11"/>
            </w:pPr>
            <w:r>
              <w:t>项目名称</w:t>
            </w:r>
          </w:p>
        </w:tc>
        <w:tc>
          <w:tcPr>
            <w:tcW w:w="6095" w:type="dxa"/>
            <w:gridSpan w:val="3"/>
            <w:vAlign w:val="center"/>
          </w:tcPr>
          <w:p>
            <w:pPr>
              <w:pStyle w:val="13"/>
            </w:pPr>
            <w:r>
              <w:t>医疗保障管理和业务工作经费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6.24</w:t>
            </w:r>
          </w:p>
        </w:tc>
        <w:tc>
          <w:tcPr>
            <w:tcW w:w="2835" w:type="dxa"/>
            <w:vAlign w:val="center"/>
          </w:tcPr>
          <w:p>
            <w:pPr>
              <w:pStyle w:val="11"/>
            </w:pPr>
            <w:r>
              <w:t>其中：财政    资金</w:t>
            </w:r>
          </w:p>
        </w:tc>
        <w:tc>
          <w:tcPr>
            <w:tcW w:w="2551" w:type="dxa"/>
            <w:vAlign w:val="center"/>
          </w:tcPr>
          <w:p>
            <w:pPr>
              <w:pStyle w:val="13"/>
            </w:pPr>
            <w:r>
              <w:t>6.24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合理安排财政资金支出计划，遵循单位财务规章制度，在预算内按进度支出；保障机关正常运转，服务于机关全年目标任务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1.合理安排财政资金支出计划，遵循单位财务规章制度，在预算内按进度支出；保障机关正常运转，服务于机关全年目标任务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工作日保障单位医保业务正常运转</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w:t>
            </w:r>
          </w:p>
        </w:tc>
        <w:tc>
          <w:tcPr>
            <w:tcW w:w="1276" w:type="dxa"/>
            <w:vAlign w:val="center"/>
          </w:tcPr>
          <w:p>
            <w:pPr>
              <w:pStyle w:val="13"/>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w:t>
            </w:r>
          </w:p>
        </w:tc>
        <w:tc>
          <w:tcPr>
            <w:tcW w:w="5386" w:type="dxa"/>
            <w:vAlign w:val="center"/>
          </w:tcPr>
          <w:p>
            <w:pPr>
              <w:pStyle w:val="13"/>
            </w:pPr>
            <w:r>
              <w:t>2025年12月28日完成全部工作</w:t>
            </w:r>
          </w:p>
        </w:tc>
        <w:tc>
          <w:tcPr>
            <w:tcW w:w="2268" w:type="dxa"/>
            <w:vAlign w:val="center"/>
          </w:tcPr>
          <w:p>
            <w:pPr>
              <w:pStyle w:val="13"/>
            </w:pPr>
            <w:r>
              <w:t>截止2025年12月28日</w:t>
            </w:r>
          </w:p>
        </w:tc>
        <w:tc>
          <w:tcPr>
            <w:tcW w:w="1276" w:type="dxa"/>
            <w:vAlign w:val="center"/>
          </w:tcPr>
          <w:p>
            <w:pPr>
              <w:pStyle w:val="13"/>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5386" w:type="dxa"/>
            <w:vAlign w:val="center"/>
          </w:tcPr>
          <w:p>
            <w:pPr>
              <w:pStyle w:val="13"/>
            </w:pPr>
            <w:r>
              <w:t>补充日常公用经费支出</w:t>
            </w:r>
          </w:p>
        </w:tc>
        <w:tc>
          <w:tcPr>
            <w:tcW w:w="2268" w:type="dxa"/>
            <w:vAlign w:val="center"/>
          </w:tcPr>
          <w:p>
            <w:pPr>
              <w:pStyle w:val="13"/>
            </w:pPr>
            <w:r>
              <w:t>≤6.24万元</w:t>
            </w:r>
          </w:p>
        </w:tc>
        <w:tc>
          <w:tcPr>
            <w:tcW w:w="1276" w:type="dxa"/>
            <w:vAlign w:val="center"/>
          </w:tcPr>
          <w:p>
            <w:pPr>
              <w:pStyle w:val="13"/>
            </w:pPr>
            <w:r>
              <w:t>固定行政人均标准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提升公共服务质量</w:t>
            </w:r>
          </w:p>
        </w:tc>
        <w:tc>
          <w:tcPr>
            <w:tcW w:w="5386" w:type="dxa"/>
            <w:vAlign w:val="center"/>
          </w:tcPr>
          <w:p>
            <w:pPr>
              <w:pStyle w:val="13"/>
            </w:pPr>
            <w:r>
              <w:t>保障日常办公需要，维持单位正常运转</w:t>
            </w:r>
          </w:p>
        </w:tc>
        <w:tc>
          <w:tcPr>
            <w:tcW w:w="2268" w:type="dxa"/>
            <w:vAlign w:val="center"/>
          </w:tcPr>
          <w:p>
            <w:pPr>
              <w:pStyle w:val="13"/>
            </w:pPr>
            <w:r>
              <w:t>较上年度增加10%</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基本公共服务水平保持率</w:t>
            </w:r>
          </w:p>
        </w:tc>
        <w:tc>
          <w:tcPr>
            <w:tcW w:w="5386" w:type="dxa"/>
            <w:vAlign w:val="center"/>
          </w:tcPr>
          <w:p>
            <w:pPr>
              <w:pStyle w:val="13"/>
            </w:pPr>
            <w:r>
              <w:t>提升医疗保障公共服务水平</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3、医疗保障管理和业务工作经费绩效目标表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13080025P00R66H100025</w:t>
            </w:r>
          </w:p>
        </w:tc>
        <w:tc>
          <w:tcPr>
            <w:tcW w:w="2835" w:type="dxa"/>
            <w:vAlign w:val="center"/>
          </w:tcPr>
          <w:p>
            <w:pPr>
              <w:pStyle w:val="11"/>
            </w:pPr>
            <w:r>
              <w:t>项目名称</w:t>
            </w:r>
          </w:p>
        </w:tc>
        <w:tc>
          <w:tcPr>
            <w:tcW w:w="6095" w:type="dxa"/>
            <w:gridSpan w:val="3"/>
            <w:vAlign w:val="center"/>
          </w:tcPr>
          <w:p>
            <w:pPr>
              <w:pStyle w:val="13"/>
            </w:pPr>
            <w:r>
              <w:t>医疗保障管理和业务工作经费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w:t>
            </w:r>
          </w:p>
        </w:tc>
        <w:tc>
          <w:tcPr>
            <w:tcW w:w="2835" w:type="dxa"/>
            <w:vAlign w:val="center"/>
          </w:tcPr>
          <w:p>
            <w:pPr>
              <w:pStyle w:val="11"/>
            </w:pPr>
            <w:r>
              <w:t>其中：财政    资金</w:t>
            </w:r>
          </w:p>
        </w:tc>
        <w:tc>
          <w:tcPr>
            <w:tcW w:w="2551" w:type="dxa"/>
            <w:vAlign w:val="center"/>
          </w:tcPr>
          <w:p>
            <w:pPr>
              <w:pStyle w:val="13"/>
            </w:pPr>
            <w:r>
              <w:t>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合理安排财政资金支出计划，遵循单位财务规章制度，在预算内按进度支出；保障机关正常运转，服务于机关全年目标任务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1.合理安排财政资金支出计划，遵循单位财务规章制度，在预算内按进度支出；保障机关正常运转，服务于机关全年目标任务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工作日保障单位医保业务正常运行</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w:t>
            </w:r>
          </w:p>
        </w:tc>
        <w:tc>
          <w:tcPr>
            <w:tcW w:w="1276" w:type="dxa"/>
            <w:vAlign w:val="center"/>
          </w:tcPr>
          <w:p>
            <w:pPr>
              <w:pStyle w:val="13"/>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2025年12月28日前完成全部工作</w:t>
            </w:r>
          </w:p>
        </w:tc>
        <w:tc>
          <w:tcPr>
            <w:tcW w:w="2268" w:type="dxa"/>
            <w:vAlign w:val="center"/>
          </w:tcPr>
          <w:p>
            <w:pPr>
              <w:pStyle w:val="13"/>
            </w:pPr>
            <w:r>
              <w:t>截止到2025年12月28日前</w:t>
            </w:r>
          </w:p>
        </w:tc>
        <w:tc>
          <w:tcPr>
            <w:tcW w:w="1276" w:type="dxa"/>
            <w:vAlign w:val="center"/>
          </w:tcPr>
          <w:p>
            <w:pPr>
              <w:pStyle w:val="13"/>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5386" w:type="dxa"/>
            <w:vAlign w:val="center"/>
          </w:tcPr>
          <w:p>
            <w:pPr>
              <w:pStyle w:val="13"/>
            </w:pPr>
            <w:r>
              <w:t>补充日常公用经费支出</w:t>
            </w:r>
          </w:p>
        </w:tc>
        <w:tc>
          <w:tcPr>
            <w:tcW w:w="2268" w:type="dxa"/>
            <w:vAlign w:val="center"/>
          </w:tcPr>
          <w:p>
            <w:pPr>
              <w:pStyle w:val="13"/>
            </w:pPr>
            <w:r>
              <w:t>≤23万元</w:t>
            </w:r>
          </w:p>
        </w:tc>
        <w:tc>
          <w:tcPr>
            <w:tcW w:w="1276" w:type="dxa"/>
            <w:vAlign w:val="center"/>
          </w:tcPr>
          <w:p>
            <w:pPr>
              <w:pStyle w:val="13"/>
            </w:pPr>
            <w:r>
              <w:t>固定行政人均标准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提升公共服务质量</w:t>
            </w:r>
          </w:p>
        </w:tc>
        <w:tc>
          <w:tcPr>
            <w:tcW w:w="5386" w:type="dxa"/>
            <w:vAlign w:val="center"/>
          </w:tcPr>
          <w:p>
            <w:pPr>
              <w:pStyle w:val="13"/>
            </w:pPr>
            <w:r>
              <w:t>保障日常办公需要，维持单位正常运转</w:t>
            </w:r>
          </w:p>
        </w:tc>
        <w:tc>
          <w:tcPr>
            <w:tcW w:w="2268" w:type="dxa"/>
            <w:vAlign w:val="center"/>
          </w:tcPr>
          <w:p>
            <w:pPr>
              <w:pStyle w:val="13"/>
            </w:pPr>
            <w:r>
              <w:t>较上年度增加10%</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基本公共服务水平保持率</w:t>
            </w:r>
          </w:p>
        </w:tc>
        <w:tc>
          <w:tcPr>
            <w:tcW w:w="5386" w:type="dxa"/>
            <w:vAlign w:val="center"/>
          </w:tcPr>
          <w:p>
            <w:pPr>
              <w:pStyle w:val="13"/>
            </w:pPr>
            <w:r>
              <w:t>提升医疗保障公共服务水平</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4、2024年中央财政医疗服务与保障能力提升补助资金绩效目标表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13080024P00093210004R</w:t>
            </w:r>
          </w:p>
        </w:tc>
        <w:tc>
          <w:tcPr>
            <w:tcW w:w="2835" w:type="dxa"/>
            <w:vAlign w:val="center"/>
          </w:tcPr>
          <w:p>
            <w:pPr>
              <w:pStyle w:val="11"/>
            </w:pPr>
            <w:r>
              <w:t>项目名称</w:t>
            </w:r>
          </w:p>
        </w:tc>
        <w:tc>
          <w:tcPr>
            <w:tcW w:w="6095" w:type="dxa"/>
            <w:gridSpan w:val="3"/>
            <w:vAlign w:val="center"/>
          </w:tcPr>
          <w:p>
            <w:pPr>
              <w:pStyle w:val="13"/>
            </w:pPr>
            <w:r>
              <w:t>2024年中央财政医疗服务与保障能力提升补助资金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416.01</w:t>
            </w:r>
          </w:p>
        </w:tc>
        <w:tc>
          <w:tcPr>
            <w:tcW w:w="2835" w:type="dxa"/>
            <w:vAlign w:val="center"/>
          </w:tcPr>
          <w:p>
            <w:pPr>
              <w:pStyle w:val="11"/>
            </w:pPr>
            <w:r>
              <w:t>其中：财政    资金</w:t>
            </w:r>
          </w:p>
        </w:tc>
        <w:tc>
          <w:tcPr>
            <w:tcW w:w="2551" w:type="dxa"/>
            <w:vAlign w:val="center"/>
          </w:tcPr>
          <w:p>
            <w:pPr>
              <w:pStyle w:val="13"/>
            </w:pPr>
            <w:r>
              <w:t>416.01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主要用于医保信息化标准化系统维护，医保基金监管检查等方面工作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1.在2025年12月31日前支付416.0108万元，用于医保信息化标准化系统维护，医保基金监管检查等方面工作，达到国家统一医保信息平台正常运转和定点医保机构监督检查覆盖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医保信息平台子系统运维数量</w:t>
            </w:r>
          </w:p>
        </w:tc>
        <w:tc>
          <w:tcPr>
            <w:tcW w:w="5386" w:type="dxa"/>
            <w:vAlign w:val="center"/>
          </w:tcPr>
          <w:p>
            <w:pPr>
              <w:pStyle w:val="13"/>
            </w:pPr>
            <w:r>
              <w:t>医保信息平台子系统运维数量</w:t>
            </w:r>
          </w:p>
        </w:tc>
        <w:tc>
          <w:tcPr>
            <w:tcW w:w="2268" w:type="dxa"/>
            <w:vAlign w:val="center"/>
          </w:tcPr>
          <w:p>
            <w:pPr>
              <w:pStyle w:val="13"/>
            </w:pPr>
            <w:r>
              <w:t>≥18个</w:t>
            </w:r>
          </w:p>
        </w:tc>
        <w:tc>
          <w:tcPr>
            <w:tcW w:w="1276" w:type="dxa"/>
            <w:vAlign w:val="center"/>
          </w:tcPr>
          <w:p>
            <w:pPr>
              <w:pStyle w:val="13"/>
            </w:pPr>
            <w:r>
              <w:t>当前信息系统数量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专项检查次数</w:t>
            </w:r>
          </w:p>
        </w:tc>
        <w:tc>
          <w:tcPr>
            <w:tcW w:w="5386" w:type="dxa"/>
            <w:vAlign w:val="center"/>
          </w:tcPr>
          <w:p>
            <w:pPr>
              <w:pStyle w:val="13"/>
            </w:pPr>
            <w:r>
              <w:t>专项检查次数</w:t>
            </w:r>
          </w:p>
        </w:tc>
        <w:tc>
          <w:tcPr>
            <w:tcW w:w="2268" w:type="dxa"/>
            <w:vAlign w:val="center"/>
          </w:tcPr>
          <w:p>
            <w:pPr>
              <w:pStyle w:val="13"/>
            </w:pPr>
            <w:r>
              <w:t>≥1次</w:t>
            </w:r>
          </w:p>
        </w:tc>
        <w:tc>
          <w:tcPr>
            <w:tcW w:w="1276" w:type="dxa"/>
            <w:vAlign w:val="center"/>
          </w:tcPr>
          <w:p>
            <w:pPr>
              <w:pStyle w:val="13"/>
            </w:pPr>
            <w:r>
              <w:t>承财社（2024）53号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医保基金监管检查时间</w:t>
            </w:r>
          </w:p>
        </w:tc>
        <w:tc>
          <w:tcPr>
            <w:tcW w:w="5386" w:type="dxa"/>
            <w:vAlign w:val="center"/>
          </w:tcPr>
          <w:p>
            <w:pPr>
              <w:pStyle w:val="13"/>
            </w:pPr>
            <w:r>
              <w:t>医保基金监管检查时间</w:t>
            </w:r>
          </w:p>
        </w:tc>
        <w:tc>
          <w:tcPr>
            <w:tcW w:w="2268" w:type="dxa"/>
            <w:vAlign w:val="center"/>
          </w:tcPr>
          <w:p>
            <w:pPr>
              <w:pStyle w:val="13"/>
            </w:pPr>
            <w:r>
              <w:t>在2025年12月31日前</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医保信息系统重大安全事件响应时间</w:t>
            </w:r>
          </w:p>
        </w:tc>
        <w:tc>
          <w:tcPr>
            <w:tcW w:w="5386" w:type="dxa"/>
            <w:vAlign w:val="center"/>
          </w:tcPr>
          <w:p>
            <w:pPr>
              <w:pStyle w:val="13"/>
            </w:pPr>
            <w:r>
              <w:t>医保信息系统重大安全事件响应时间</w:t>
            </w:r>
          </w:p>
        </w:tc>
        <w:tc>
          <w:tcPr>
            <w:tcW w:w="2268" w:type="dxa"/>
            <w:vAlign w:val="center"/>
          </w:tcPr>
          <w:p>
            <w:pPr>
              <w:pStyle w:val="13"/>
            </w:pPr>
            <w:r>
              <w:t>≤60分钟</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用于医保信息系统维护和医保专项检查所需费用开支情况</w:t>
            </w:r>
          </w:p>
        </w:tc>
        <w:tc>
          <w:tcPr>
            <w:tcW w:w="2268" w:type="dxa"/>
            <w:vAlign w:val="center"/>
          </w:tcPr>
          <w:p>
            <w:pPr>
              <w:pStyle w:val="13"/>
            </w:pPr>
            <w:r>
              <w:t>≤416.01万元</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参保群众政策知晓率</w:t>
            </w:r>
          </w:p>
        </w:tc>
        <w:tc>
          <w:tcPr>
            <w:tcW w:w="5386" w:type="dxa"/>
            <w:vAlign w:val="center"/>
          </w:tcPr>
          <w:p>
            <w:pPr>
              <w:pStyle w:val="13"/>
            </w:pPr>
            <w:r>
              <w:t>参保群众政策知晓率</w:t>
            </w:r>
          </w:p>
        </w:tc>
        <w:tc>
          <w:tcPr>
            <w:tcW w:w="2268" w:type="dxa"/>
            <w:vAlign w:val="center"/>
          </w:tcPr>
          <w:p>
            <w:pPr>
              <w:pStyle w:val="13"/>
            </w:pPr>
            <w:r>
              <w:t>≥90%</w:t>
            </w:r>
          </w:p>
        </w:tc>
        <w:tc>
          <w:tcPr>
            <w:tcW w:w="1276" w:type="dxa"/>
            <w:vAlign w:val="center"/>
          </w:tcPr>
          <w:p>
            <w:pPr>
              <w:pStyle w:val="13"/>
            </w:pPr>
            <w:r>
              <w:t>承财社（2024）53号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提升医疗保障能力</w:t>
            </w:r>
          </w:p>
        </w:tc>
        <w:tc>
          <w:tcPr>
            <w:tcW w:w="5386" w:type="dxa"/>
            <w:vAlign w:val="center"/>
          </w:tcPr>
          <w:p>
            <w:pPr>
              <w:pStyle w:val="13"/>
            </w:pPr>
            <w:r>
              <w:t>提升医疗服务与保障能力</w:t>
            </w:r>
          </w:p>
        </w:tc>
        <w:tc>
          <w:tcPr>
            <w:tcW w:w="2268" w:type="dxa"/>
            <w:vAlign w:val="center"/>
          </w:tcPr>
          <w:p>
            <w:pPr>
              <w:pStyle w:val="13"/>
            </w:pPr>
            <w:r>
              <w:t>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≥85%</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系统使用人对系统的满意情况</w:t>
            </w:r>
          </w:p>
        </w:tc>
        <w:tc>
          <w:tcPr>
            <w:tcW w:w="5386" w:type="dxa"/>
            <w:vAlign w:val="center"/>
          </w:tcPr>
          <w:p>
            <w:pPr>
              <w:pStyle w:val="13"/>
            </w:pPr>
            <w:r>
              <w:t>系统使用人对系统的满意情况</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5、困难群众基本生活补助（医疗救助）绩效目标表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13080023P00054510002D</w:t>
            </w:r>
          </w:p>
        </w:tc>
        <w:tc>
          <w:tcPr>
            <w:tcW w:w="2835" w:type="dxa"/>
            <w:vAlign w:val="center"/>
          </w:tcPr>
          <w:p>
            <w:pPr>
              <w:pStyle w:val="11"/>
            </w:pPr>
            <w:r>
              <w:t>项目名称</w:t>
            </w:r>
          </w:p>
        </w:tc>
        <w:tc>
          <w:tcPr>
            <w:tcW w:w="6095" w:type="dxa"/>
            <w:gridSpan w:val="3"/>
            <w:vAlign w:val="center"/>
          </w:tcPr>
          <w:p>
            <w:pPr>
              <w:pStyle w:val="13"/>
            </w:pPr>
            <w:r>
              <w:t>困难群众基本生活补助（医疗救助）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1517.00</w:t>
            </w:r>
          </w:p>
        </w:tc>
        <w:tc>
          <w:tcPr>
            <w:tcW w:w="2835" w:type="dxa"/>
            <w:vAlign w:val="center"/>
          </w:tcPr>
          <w:p>
            <w:pPr>
              <w:pStyle w:val="11"/>
            </w:pPr>
            <w:r>
              <w:t>其中：财政    资金</w:t>
            </w:r>
          </w:p>
        </w:tc>
        <w:tc>
          <w:tcPr>
            <w:tcW w:w="2551" w:type="dxa"/>
            <w:vAlign w:val="center"/>
          </w:tcPr>
          <w:p>
            <w:pPr>
              <w:pStyle w:val="13"/>
            </w:pPr>
            <w:r>
              <w:t>1517.00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用于困难群众基本生活补助（医疗救助）资金支出。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1.在2025年12月31日前支付困难群众基本生活补助资金1517万元，达到提高困难群众基本生活水平的效果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贫困人口参保人数</w:t>
            </w:r>
          </w:p>
        </w:tc>
        <w:tc>
          <w:tcPr>
            <w:tcW w:w="5386" w:type="dxa"/>
            <w:vAlign w:val="center"/>
          </w:tcPr>
          <w:p>
            <w:pPr>
              <w:pStyle w:val="13"/>
            </w:pPr>
            <w:r>
              <w:t>贫困人口参保人数</w:t>
            </w:r>
          </w:p>
        </w:tc>
        <w:tc>
          <w:tcPr>
            <w:tcW w:w="2268" w:type="dxa"/>
            <w:vAlign w:val="center"/>
          </w:tcPr>
          <w:p>
            <w:pPr>
              <w:pStyle w:val="13"/>
            </w:pPr>
            <w:r>
              <w:t>≥55万人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贫困人口参保率</w:t>
            </w:r>
          </w:p>
        </w:tc>
        <w:tc>
          <w:tcPr>
            <w:tcW w:w="5386" w:type="dxa"/>
            <w:vAlign w:val="center"/>
          </w:tcPr>
          <w:p>
            <w:pPr>
              <w:pStyle w:val="13"/>
            </w:pPr>
            <w:r>
              <w:t>贫困人口参保率</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医疗救助待遇落实及时</w:t>
            </w:r>
          </w:p>
        </w:tc>
        <w:tc>
          <w:tcPr>
            <w:tcW w:w="5386" w:type="dxa"/>
            <w:vAlign w:val="center"/>
          </w:tcPr>
          <w:p>
            <w:pPr>
              <w:pStyle w:val="13"/>
            </w:pPr>
            <w:r>
              <w:t>医疗救助待遇落实及时</w:t>
            </w:r>
          </w:p>
        </w:tc>
        <w:tc>
          <w:tcPr>
            <w:tcW w:w="2268" w:type="dxa"/>
            <w:vAlign w:val="center"/>
          </w:tcPr>
          <w:p>
            <w:pPr>
              <w:pStyle w:val="13"/>
            </w:pPr>
            <w:r>
              <w:t>及时</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困难群众医疗救助金额</w:t>
            </w:r>
          </w:p>
        </w:tc>
        <w:tc>
          <w:tcPr>
            <w:tcW w:w="5386" w:type="dxa"/>
            <w:vAlign w:val="center"/>
          </w:tcPr>
          <w:p>
            <w:pPr>
              <w:pStyle w:val="13"/>
            </w:pPr>
            <w:r>
              <w:t>困难群众医疗救助金额</w:t>
            </w:r>
          </w:p>
        </w:tc>
        <w:tc>
          <w:tcPr>
            <w:tcW w:w="2268" w:type="dxa"/>
            <w:vAlign w:val="center"/>
          </w:tcPr>
          <w:p>
            <w:pPr>
              <w:pStyle w:val="13"/>
            </w:pPr>
            <w:r>
              <w:t>1517万元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困难群众就医保障</w:t>
            </w:r>
          </w:p>
        </w:tc>
        <w:tc>
          <w:tcPr>
            <w:tcW w:w="5386" w:type="dxa"/>
            <w:vAlign w:val="center"/>
          </w:tcPr>
          <w:p>
            <w:pPr>
              <w:pStyle w:val="13"/>
            </w:pPr>
            <w:r>
              <w:t>困难群众就医保障</w:t>
            </w:r>
          </w:p>
        </w:tc>
        <w:tc>
          <w:tcPr>
            <w:tcW w:w="2268" w:type="dxa"/>
            <w:vAlign w:val="center"/>
          </w:tcPr>
          <w:p>
            <w:pPr>
              <w:pStyle w:val="13"/>
            </w:pPr>
            <w:r>
              <w:t>有效保障</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目录范围内报销比例</w:t>
            </w:r>
          </w:p>
        </w:tc>
        <w:tc>
          <w:tcPr>
            <w:tcW w:w="5386" w:type="dxa"/>
            <w:vAlign w:val="center"/>
          </w:tcPr>
          <w:p>
            <w:pPr>
              <w:pStyle w:val="13"/>
            </w:pPr>
            <w:r>
              <w:t>目录范围内报销比例</w:t>
            </w:r>
          </w:p>
        </w:tc>
        <w:tc>
          <w:tcPr>
            <w:tcW w:w="2268" w:type="dxa"/>
            <w:vAlign w:val="center"/>
          </w:tcPr>
          <w:p>
            <w:pPr>
              <w:pStyle w:val="13"/>
            </w:pPr>
            <w:r>
              <w:t>≥90%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困难群众满意度</w:t>
            </w:r>
          </w:p>
        </w:tc>
        <w:tc>
          <w:tcPr>
            <w:tcW w:w="5386" w:type="dxa"/>
            <w:vAlign w:val="center"/>
          </w:tcPr>
          <w:p>
            <w:pPr>
              <w:pStyle w:val="13"/>
            </w:pPr>
            <w:r>
              <w:t>困难群众满意度</w:t>
            </w:r>
          </w:p>
        </w:tc>
        <w:tc>
          <w:tcPr>
            <w:tcW w:w="2268" w:type="dxa"/>
            <w:vAlign w:val="center"/>
          </w:tcPr>
          <w:p>
            <w:pPr>
              <w:pStyle w:val="13"/>
            </w:pPr>
            <w:r>
              <w:t>≥95%</w:t>
            </w:r>
          </w:p>
        </w:tc>
        <w:tc>
          <w:tcPr>
            <w:tcW w:w="1276" w:type="dxa"/>
            <w:vAlign w:val="center"/>
          </w:tcPr>
          <w:p>
            <w:pPr>
              <w:pStyle w:val="13"/>
            </w:pPr>
            <w:r>
              <w:t>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6、医保基金监督专项经费项目绩效目标表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13080025P00090810002D</w:t>
            </w:r>
          </w:p>
        </w:tc>
        <w:tc>
          <w:tcPr>
            <w:tcW w:w="2835" w:type="dxa"/>
            <w:vAlign w:val="center"/>
          </w:tcPr>
          <w:p>
            <w:pPr>
              <w:pStyle w:val="11"/>
            </w:pPr>
            <w:r>
              <w:t>项目名称</w:t>
            </w:r>
          </w:p>
        </w:tc>
        <w:tc>
          <w:tcPr>
            <w:tcW w:w="6095" w:type="dxa"/>
            <w:gridSpan w:val="3"/>
            <w:vAlign w:val="center"/>
          </w:tcPr>
          <w:p>
            <w:pPr>
              <w:pStyle w:val="13"/>
            </w:pPr>
            <w:r>
              <w:t>医保基金监督专项经费项目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大依法查处医保领域违法违规行为力度，发挥综合监管能力，进一步提高精准打击能力，在2025年12月底之前，项目支出3万元，完成对全市定点医药机构1800家以上全覆盖检查，达到保障全市医保基金安全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大依法查处医保领域违法违规行为力度，发挥综合监管能力，进一步提高精准打击能力，在2025年12月底之前，项目支出3万元，完成对全市定点医药机构1800家以上全覆盖检查，达到保障全市医保基金安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定点医药机构数量</w:t>
            </w:r>
          </w:p>
        </w:tc>
        <w:tc>
          <w:tcPr>
            <w:tcW w:w="5386" w:type="dxa"/>
            <w:vAlign w:val="center"/>
          </w:tcPr>
          <w:p>
            <w:pPr>
              <w:pStyle w:val="13"/>
            </w:pPr>
            <w:r>
              <w:t>查处定点医药机构数量</w:t>
            </w:r>
          </w:p>
        </w:tc>
        <w:tc>
          <w:tcPr>
            <w:tcW w:w="2268" w:type="dxa"/>
            <w:vAlign w:val="center"/>
          </w:tcPr>
          <w:p>
            <w:pPr>
              <w:pStyle w:val="13"/>
            </w:pPr>
            <w:r>
              <w:t>≥1800家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举报案件查处率</w:t>
            </w:r>
          </w:p>
        </w:tc>
        <w:tc>
          <w:tcPr>
            <w:tcW w:w="5386" w:type="dxa"/>
            <w:vAlign w:val="center"/>
          </w:tcPr>
          <w:p>
            <w:pPr>
              <w:pStyle w:val="13"/>
            </w:pPr>
            <w:r>
              <w:t>对举报的案件查处情况</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及时完成检查任务</w:t>
            </w:r>
          </w:p>
        </w:tc>
        <w:tc>
          <w:tcPr>
            <w:tcW w:w="5386" w:type="dxa"/>
            <w:vAlign w:val="center"/>
          </w:tcPr>
          <w:p>
            <w:pPr>
              <w:pStyle w:val="13"/>
            </w:pPr>
            <w:r>
              <w:t>按计划及时完成检查，执法和监管任务</w:t>
            </w:r>
          </w:p>
        </w:tc>
        <w:tc>
          <w:tcPr>
            <w:tcW w:w="2268" w:type="dxa"/>
            <w:vAlign w:val="center"/>
          </w:tcPr>
          <w:p>
            <w:pPr>
              <w:pStyle w:val="13"/>
            </w:pPr>
            <w:r>
              <w:t>2025年12月底前</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项目支出总成本</w:t>
            </w:r>
          </w:p>
        </w:tc>
        <w:tc>
          <w:tcPr>
            <w:tcW w:w="5386" w:type="dxa"/>
            <w:vAlign w:val="center"/>
          </w:tcPr>
          <w:p>
            <w:pPr>
              <w:pStyle w:val="13"/>
            </w:pPr>
            <w:r>
              <w:t>项目支出总成本</w:t>
            </w:r>
          </w:p>
        </w:tc>
        <w:tc>
          <w:tcPr>
            <w:tcW w:w="2268" w:type="dxa"/>
            <w:vAlign w:val="center"/>
          </w:tcPr>
          <w:p>
            <w:pPr>
              <w:pStyle w:val="13"/>
            </w:pPr>
            <w:r>
              <w:t>≤3万元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有效提升基金监管业务能力</w:t>
            </w:r>
          </w:p>
        </w:tc>
        <w:tc>
          <w:tcPr>
            <w:tcW w:w="5386" w:type="dxa"/>
            <w:vAlign w:val="center"/>
          </w:tcPr>
          <w:p>
            <w:pPr>
              <w:pStyle w:val="13"/>
            </w:pPr>
            <w:r>
              <w:t>基金监管业务能力提升，确保医保反欺诈大数据应用监管试点工作取得实效</w:t>
            </w:r>
          </w:p>
        </w:tc>
        <w:tc>
          <w:tcPr>
            <w:tcW w:w="2268" w:type="dxa"/>
            <w:vAlign w:val="center"/>
          </w:tcPr>
          <w:p>
            <w:pPr>
              <w:pStyle w:val="13"/>
            </w:pPr>
            <w:r>
              <w:t>有限提升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提高精准打击能力</w:t>
            </w:r>
          </w:p>
        </w:tc>
        <w:tc>
          <w:tcPr>
            <w:tcW w:w="5386" w:type="dxa"/>
            <w:vAlign w:val="center"/>
          </w:tcPr>
          <w:p>
            <w:pPr>
              <w:pStyle w:val="13"/>
            </w:pPr>
            <w:r>
              <w:t>提高医保领域违法违规行为打击能力</w:t>
            </w:r>
          </w:p>
        </w:tc>
        <w:tc>
          <w:tcPr>
            <w:tcW w:w="2268" w:type="dxa"/>
            <w:vAlign w:val="center"/>
          </w:tcPr>
          <w:p>
            <w:pPr>
              <w:pStyle w:val="13"/>
            </w:pPr>
            <w:r>
              <w:t>有限提升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医药机构满意度</w:t>
            </w:r>
          </w:p>
        </w:tc>
        <w:tc>
          <w:tcPr>
            <w:tcW w:w="5386" w:type="dxa"/>
            <w:vAlign w:val="center"/>
          </w:tcPr>
          <w:p>
            <w:pPr>
              <w:pStyle w:val="13"/>
            </w:pPr>
            <w:r>
              <w:t>医药机构满意度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7、医疗服务与保障能力提升补助绩效目标表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13080025P004KM910002J</w:t>
            </w:r>
          </w:p>
        </w:tc>
        <w:tc>
          <w:tcPr>
            <w:tcW w:w="2835" w:type="dxa"/>
            <w:vAlign w:val="center"/>
          </w:tcPr>
          <w:p>
            <w:pPr>
              <w:pStyle w:val="11"/>
            </w:pPr>
            <w:r>
              <w:t>项目名称</w:t>
            </w:r>
          </w:p>
        </w:tc>
        <w:tc>
          <w:tcPr>
            <w:tcW w:w="6095" w:type="dxa"/>
            <w:gridSpan w:val="3"/>
            <w:vAlign w:val="center"/>
          </w:tcPr>
          <w:p>
            <w:pPr>
              <w:pStyle w:val="13"/>
            </w:pPr>
            <w:r>
              <w:t>医疗服务与保障能力提升补助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402.00</w:t>
            </w:r>
          </w:p>
        </w:tc>
        <w:tc>
          <w:tcPr>
            <w:tcW w:w="2835" w:type="dxa"/>
            <w:vAlign w:val="center"/>
          </w:tcPr>
          <w:p>
            <w:pPr>
              <w:pStyle w:val="11"/>
            </w:pPr>
            <w:r>
              <w:t>其中：财政    资金</w:t>
            </w:r>
          </w:p>
        </w:tc>
        <w:tc>
          <w:tcPr>
            <w:tcW w:w="2551" w:type="dxa"/>
            <w:vAlign w:val="center"/>
          </w:tcPr>
          <w:p>
            <w:pPr>
              <w:pStyle w:val="13"/>
            </w:pPr>
            <w:r>
              <w:t>402.00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主要用于用于医保信息化标准化系统维护，医保基金监管检查等方面工作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1.在2025年12月31日前支付402万元，用于医保信息化标准化系统维护，医保基金监管检查等方面工作，达到国家统一医保信息平台正常运行和定点医药机构监督检查覆盖的效果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医保信息平台子系统运维数量</w:t>
            </w:r>
          </w:p>
        </w:tc>
        <w:tc>
          <w:tcPr>
            <w:tcW w:w="5386" w:type="dxa"/>
            <w:vAlign w:val="center"/>
          </w:tcPr>
          <w:p>
            <w:pPr>
              <w:pStyle w:val="13"/>
            </w:pPr>
            <w:r>
              <w:t>医保信息平台子系统运维数量</w:t>
            </w:r>
          </w:p>
        </w:tc>
        <w:tc>
          <w:tcPr>
            <w:tcW w:w="2268" w:type="dxa"/>
            <w:vAlign w:val="center"/>
          </w:tcPr>
          <w:p>
            <w:pPr>
              <w:pStyle w:val="13"/>
            </w:pPr>
            <w:r>
              <w:t>≥18个</w:t>
            </w:r>
          </w:p>
        </w:tc>
        <w:tc>
          <w:tcPr>
            <w:tcW w:w="1276" w:type="dxa"/>
            <w:vAlign w:val="center"/>
          </w:tcPr>
          <w:p>
            <w:pPr>
              <w:pStyle w:val="13"/>
            </w:pPr>
            <w:r>
              <w:t>当前信息系统数量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专项检查次数</w:t>
            </w:r>
          </w:p>
        </w:tc>
        <w:tc>
          <w:tcPr>
            <w:tcW w:w="5386" w:type="dxa"/>
            <w:vAlign w:val="center"/>
          </w:tcPr>
          <w:p>
            <w:pPr>
              <w:pStyle w:val="13"/>
            </w:pPr>
            <w:r>
              <w:t>专项检查次数</w:t>
            </w:r>
          </w:p>
        </w:tc>
        <w:tc>
          <w:tcPr>
            <w:tcW w:w="2268" w:type="dxa"/>
            <w:vAlign w:val="center"/>
          </w:tcPr>
          <w:p>
            <w:pPr>
              <w:pStyle w:val="13"/>
            </w:pPr>
            <w:r>
              <w:t>≥1次</w:t>
            </w:r>
          </w:p>
        </w:tc>
        <w:tc>
          <w:tcPr>
            <w:tcW w:w="1276" w:type="dxa"/>
            <w:vAlign w:val="center"/>
          </w:tcPr>
          <w:p>
            <w:pPr>
              <w:pStyle w:val="13"/>
            </w:pPr>
            <w:r>
              <w:t>承财社【2022】218号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定点医药机构监督检查覆盖率</w:t>
            </w:r>
          </w:p>
        </w:tc>
        <w:tc>
          <w:tcPr>
            <w:tcW w:w="5386" w:type="dxa"/>
            <w:vAlign w:val="center"/>
          </w:tcPr>
          <w:p>
            <w:pPr>
              <w:pStyle w:val="13"/>
            </w:pPr>
            <w:r>
              <w:t>定点医药机构监督检查覆盖率</w:t>
            </w:r>
          </w:p>
        </w:tc>
        <w:tc>
          <w:tcPr>
            <w:tcW w:w="2268" w:type="dxa"/>
            <w:vAlign w:val="center"/>
          </w:tcPr>
          <w:p>
            <w:pPr>
              <w:pStyle w:val="13"/>
            </w:pPr>
            <w:r>
              <w:t>≥90%</w:t>
            </w:r>
          </w:p>
        </w:tc>
        <w:tc>
          <w:tcPr>
            <w:tcW w:w="1276" w:type="dxa"/>
            <w:vAlign w:val="center"/>
          </w:tcPr>
          <w:p>
            <w:pPr>
              <w:pStyle w:val="13"/>
            </w:pPr>
            <w:r>
              <w:t>承财社【2022】218号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医保信息系统正常运行率</w:t>
            </w:r>
          </w:p>
        </w:tc>
        <w:tc>
          <w:tcPr>
            <w:tcW w:w="5386" w:type="dxa"/>
            <w:vAlign w:val="center"/>
          </w:tcPr>
          <w:p>
            <w:pPr>
              <w:pStyle w:val="13"/>
            </w:pPr>
            <w:r>
              <w:t>医保信息系统正常运行率</w:t>
            </w:r>
          </w:p>
        </w:tc>
        <w:tc>
          <w:tcPr>
            <w:tcW w:w="2268" w:type="dxa"/>
            <w:vAlign w:val="center"/>
          </w:tcPr>
          <w:p>
            <w:pPr>
              <w:pStyle w:val="13"/>
            </w:pPr>
            <w:r>
              <w:t>≥90%</w:t>
            </w:r>
          </w:p>
        </w:tc>
        <w:tc>
          <w:tcPr>
            <w:tcW w:w="1276" w:type="dxa"/>
            <w:vAlign w:val="center"/>
          </w:tcPr>
          <w:p>
            <w:pPr>
              <w:pStyle w:val="13"/>
            </w:pPr>
            <w:r>
              <w:t>国家医疗保障局办公室《关于做好医保信息化运维管理工作的指导意见》的通知（医保办发【2022】14号）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医保基金监管检查时间</w:t>
            </w:r>
          </w:p>
        </w:tc>
        <w:tc>
          <w:tcPr>
            <w:tcW w:w="5386" w:type="dxa"/>
            <w:vAlign w:val="center"/>
          </w:tcPr>
          <w:p>
            <w:pPr>
              <w:pStyle w:val="13"/>
            </w:pPr>
            <w:r>
              <w:t>医保基金监管检查时间</w:t>
            </w:r>
          </w:p>
        </w:tc>
        <w:tc>
          <w:tcPr>
            <w:tcW w:w="2268" w:type="dxa"/>
            <w:vAlign w:val="center"/>
          </w:tcPr>
          <w:p>
            <w:pPr>
              <w:pStyle w:val="13"/>
            </w:pPr>
            <w:r>
              <w:t>在2025年12月31日前</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医保信息系统重大安全事件响应时间</w:t>
            </w:r>
          </w:p>
        </w:tc>
        <w:tc>
          <w:tcPr>
            <w:tcW w:w="5386" w:type="dxa"/>
            <w:vAlign w:val="center"/>
          </w:tcPr>
          <w:p>
            <w:pPr>
              <w:pStyle w:val="13"/>
            </w:pPr>
            <w:r>
              <w:t>医保信息系统重大安全事件响应时间</w:t>
            </w:r>
          </w:p>
        </w:tc>
        <w:tc>
          <w:tcPr>
            <w:tcW w:w="2268" w:type="dxa"/>
            <w:vAlign w:val="center"/>
          </w:tcPr>
          <w:p>
            <w:pPr>
              <w:pStyle w:val="13"/>
            </w:pPr>
            <w:r>
              <w:t>≤60分钟</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用于医保信息系统维护和医保专项检查所需费用开支情况</w:t>
            </w:r>
          </w:p>
        </w:tc>
        <w:tc>
          <w:tcPr>
            <w:tcW w:w="2268" w:type="dxa"/>
            <w:vAlign w:val="center"/>
          </w:tcPr>
          <w:p>
            <w:pPr>
              <w:pStyle w:val="13"/>
            </w:pPr>
            <w:r>
              <w:t>≤402万元</w:t>
            </w:r>
          </w:p>
        </w:tc>
        <w:tc>
          <w:tcPr>
            <w:tcW w:w="1276" w:type="dxa"/>
            <w:vAlign w:val="center"/>
          </w:tcPr>
          <w:p>
            <w:pPr>
              <w:pStyle w:val="13"/>
            </w:pPr>
            <w:r>
              <w:t>承财社【2024】133号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参保群众政策知晓率</w:t>
            </w:r>
          </w:p>
        </w:tc>
        <w:tc>
          <w:tcPr>
            <w:tcW w:w="5386" w:type="dxa"/>
            <w:vAlign w:val="center"/>
          </w:tcPr>
          <w:p>
            <w:pPr>
              <w:pStyle w:val="13"/>
            </w:pPr>
            <w:r>
              <w:t>参保群众政策知晓率</w:t>
            </w:r>
          </w:p>
        </w:tc>
        <w:tc>
          <w:tcPr>
            <w:tcW w:w="2268" w:type="dxa"/>
            <w:vAlign w:val="center"/>
          </w:tcPr>
          <w:p>
            <w:pPr>
              <w:pStyle w:val="13"/>
            </w:pPr>
            <w:r>
              <w:t>≥90%</w:t>
            </w:r>
          </w:p>
        </w:tc>
        <w:tc>
          <w:tcPr>
            <w:tcW w:w="1276" w:type="dxa"/>
            <w:vAlign w:val="center"/>
          </w:tcPr>
          <w:p>
            <w:pPr>
              <w:pStyle w:val="13"/>
            </w:pPr>
            <w:r>
              <w:t>承财社【2022】218号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≥85%</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医保信息系统使用人员对相关信息系统的满意情况</w:t>
            </w:r>
          </w:p>
        </w:tc>
        <w:tc>
          <w:tcPr>
            <w:tcW w:w="5386" w:type="dxa"/>
            <w:vAlign w:val="center"/>
          </w:tcPr>
          <w:p>
            <w:pPr>
              <w:pStyle w:val="13"/>
            </w:pPr>
            <w:r>
              <w:t>医保信息系统使用人员对相关信息系统的满意情况</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8、中央财政医疗服务与保障能力提升补助资金绩效目标表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13080024P00093210002J</w:t>
            </w:r>
          </w:p>
        </w:tc>
        <w:tc>
          <w:tcPr>
            <w:tcW w:w="2835" w:type="dxa"/>
            <w:vAlign w:val="center"/>
          </w:tcPr>
          <w:p>
            <w:pPr>
              <w:pStyle w:val="11"/>
            </w:pPr>
            <w:r>
              <w:t>项目名称</w:t>
            </w:r>
          </w:p>
        </w:tc>
        <w:tc>
          <w:tcPr>
            <w:tcW w:w="6095" w:type="dxa"/>
            <w:gridSpan w:val="3"/>
            <w:vAlign w:val="center"/>
          </w:tcPr>
          <w:p>
            <w:pPr>
              <w:pStyle w:val="13"/>
            </w:pPr>
            <w:r>
              <w:t>中央财政医疗服务与保障能力提升补助资金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0.17</w:t>
            </w:r>
          </w:p>
        </w:tc>
        <w:tc>
          <w:tcPr>
            <w:tcW w:w="2835" w:type="dxa"/>
            <w:vAlign w:val="center"/>
          </w:tcPr>
          <w:p>
            <w:pPr>
              <w:pStyle w:val="11"/>
            </w:pPr>
            <w:r>
              <w:t>其中：财政    资金</w:t>
            </w:r>
          </w:p>
        </w:tc>
        <w:tc>
          <w:tcPr>
            <w:tcW w:w="2551" w:type="dxa"/>
            <w:vAlign w:val="center"/>
          </w:tcPr>
          <w:p>
            <w:pPr>
              <w:pStyle w:val="13"/>
            </w:pPr>
            <w:r>
              <w:t>0.17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主要用于医保基金监管检查等方面工作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1.在2025年12月31日前支付0.1685万元，用于医保基金监管检查等方面工作，达到定点医疗机构监督检查覆盖的效果。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专项检查次数</w:t>
            </w:r>
          </w:p>
        </w:tc>
        <w:tc>
          <w:tcPr>
            <w:tcW w:w="5386" w:type="dxa"/>
            <w:vAlign w:val="center"/>
          </w:tcPr>
          <w:p>
            <w:pPr>
              <w:pStyle w:val="13"/>
            </w:pPr>
            <w:r>
              <w:t>专项检查次数</w:t>
            </w:r>
          </w:p>
        </w:tc>
        <w:tc>
          <w:tcPr>
            <w:tcW w:w="2268" w:type="dxa"/>
            <w:vAlign w:val="center"/>
          </w:tcPr>
          <w:p>
            <w:pPr>
              <w:pStyle w:val="13"/>
            </w:pPr>
            <w:r>
              <w:t>≥1次</w:t>
            </w:r>
          </w:p>
        </w:tc>
        <w:tc>
          <w:tcPr>
            <w:tcW w:w="1276" w:type="dxa"/>
            <w:vAlign w:val="center"/>
          </w:tcPr>
          <w:p>
            <w:pPr>
              <w:pStyle w:val="13"/>
            </w:pPr>
            <w:r>
              <w:t>冀财社[2022]218号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定点医药机构监督检查覆盖率</w:t>
            </w:r>
          </w:p>
        </w:tc>
        <w:tc>
          <w:tcPr>
            <w:tcW w:w="5386" w:type="dxa"/>
            <w:vAlign w:val="center"/>
          </w:tcPr>
          <w:p>
            <w:pPr>
              <w:pStyle w:val="13"/>
            </w:pPr>
            <w:r>
              <w:t>定点医药机构监督检查覆盖率</w:t>
            </w:r>
          </w:p>
        </w:tc>
        <w:tc>
          <w:tcPr>
            <w:tcW w:w="2268" w:type="dxa"/>
            <w:vAlign w:val="center"/>
          </w:tcPr>
          <w:p>
            <w:pPr>
              <w:pStyle w:val="13"/>
            </w:pPr>
            <w:r>
              <w:t>≥90%</w:t>
            </w:r>
          </w:p>
        </w:tc>
        <w:tc>
          <w:tcPr>
            <w:tcW w:w="1276" w:type="dxa"/>
            <w:vAlign w:val="center"/>
          </w:tcPr>
          <w:p>
            <w:pPr>
              <w:pStyle w:val="13"/>
            </w:pPr>
            <w:r>
              <w:t>冀财社[2022]218号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医保基金监管检查时间</w:t>
            </w:r>
          </w:p>
        </w:tc>
        <w:tc>
          <w:tcPr>
            <w:tcW w:w="5386" w:type="dxa"/>
            <w:vAlign w:val="center"/>
          </w:tcPr>
          <w:p>
            <w:pPr>
              <w:pStyle w:val="13"/>
            </w:pPr>
            <w:r>
              <w:t>医保基金监管检查时间</w:t>
            </w:r>
          </w:p>
        </w:tc>
        <w:tc>
          <w:tcPr>
            <w:tcW w:w="2268" w:type="dxa"/>
            <w:vAlign w:val="center"/>
          </w:tcPr>
          <w:p>
            <w:pPr>
              <w:pStyle w:val="13"/>
            </w:pPr>
            <w:r>
              <w:t>2025年12月31日前</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用于医保专项检查所需费用开支情况</w:t>
            </w:r>
          </w:p>
        </w:tc>
        <w:tc>
          <w:tcPr>
            <w:tcW w:w="2268" w:type="dxa"/>
            <w:vAlign w:val="center"/>
          </w:tcPr>
          <w:p>
            <w:pPr>
              <w:pStyle w:val="13"/>
            </w:pPr>
            <w:r>
              <w:t>0.17万元</w:t>
            </w:r>
          </w:p>
        </w:tc>
        <w:tc>
          <w:tcPr>
            <w:tcW w:w="1276" w:type="dxa"/>
            <w:vAlign w:val="center"/>
          </w:tcPr>
          <w:p>
            <w:pPr>
              <w:pStyle w:val="13"/>
            </w:pPr>
            <w:r>
              <w:t>承财社[2023]225号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参保群众政策知晓率</w:t>
            </w:r>
          </w:p>
        </w:tc>
        <w:tc>
          <w:tcPr>
            <w:tcW w:w="5386" w:type="dxa"/>
            <w:vAlign w:val="center"/>
          </w:tcPr>
          <w:p>
            <w:pPr>
              <w:pStyle w:val="13"/>
            </w:pPr>
            <w:r>
              <w:t>参保群众政策知晓率</w:t>
            </w:r>
          </w:p>
        </w:tc>
        <w:tc>
          <w:tcPr>
            <w:tcW w:w="2268" w:type="dxa"/>
            <w:vAlign w:val="center"/>
          </w:tcPr>
          <w:p>
            <w:pPr>
              <w:pStyle w:val="13"/>
            </w:pPr>
            <w:r>
              <w:t>≥90%</w:t>
            </w:r>
          </w:p>
        </w:tc>
        <w:tc>
          <w:tcPr>
            <w:tcW w:w="1276" w:type="dxa"/>
            <w:vAlign w:val="center"/>
          </w:tcPr>
          <w:p>
            <w:pPr>
              <w:pStyle w:val="13"/>
            </w:pPr>
            <w:r>
              <w:t>冀财社[2022]218号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提升医疗保障能力</w:t>
            </w:r>
          </w:p>
        </w:tc>
        <w:tc>
          <w:tcPr>
            <w:tcW w:w="5386" w:type="dxa"/>
            <w:vAlign w:val="center"/>
          </w:tcPr>
          <w:p>
            <w:pPr>
              <w:pStyle w:val="13"/>
            </w:pPr>
            <w:r>
              <w:t>是否提升医疗服务与保障能力</w:t>
            </w:r>
          </w:p>
        </w:tc>
        <w:tc>
          <w:tcPr>
            <w:tcW w:w="2268" w:type="dxa"/>
            <w:vAlign w:val="center"/>
          </w:tcPr>
          <w:p>
            <w:pPr>
              <w:pStyle w:val="13"/>
            </w:pPr>
            <w:r>
              <w:t>是否提升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参保人员对医保服务的满意度</w:t>
            </w:r>
          </w:p>
        </w:tc>
        <w:tc>
          <w:tcPr>
            <w:tcW w:w="5386" w:type="dxa"/>
            <w:vAlign w:val="center"/>
          </w:tcPr>
          <w:p>
            <w:pPr>
              <w:pStyle w:val="13"/>
            </w:pPr>
            <w:r>
              <w:t>参保人员对医保服务的满意度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9、医保服务大厅劳务派遣人员经费绩效目标表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13080025P004TJ8100031</w:t>
            </w:r>
          </w:p>
        </w:tc>
        <w:tc>
          <w:tcPr>
            <w:tcW w:w="2835" w:type="dxa"/>
            <w:vAlign w:val="center"/>
          </w:tcPr>
          <w:p>
            <w:pPr>
              <w:pStyle w:val="11"/>
            </w:pPr>
            <w:r>
              <w:t>项目名称</w:t>
            </w:r>
          </w:p>
        </w:tc>
        <w:tc>
          <w:tcPr>
            <w:tcW w:w="6095" w:type="dxa"/>
            <w:gridSpan w:val="3"/>
            <w:vAlign w:val="center"/>
          </w:tcPr>
          <w:p>
            <w:pPr>
              <w:pStyle w:val="13"/>
            </w:pPr>
            <w:r>
              <w:t>医保服务大厅劳务派遣人员经费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59.50</w:t>
            </w:r>
          </w:p>
        </w:tc>
        <w:tc>
          <w:tcPr>
            <w:tcW w:w="2835" w:type="dxa"/>
            <w:vAlign w:val="center"/>
          </w:tcPr>
          <w:p>
            <w:pPr>
              <w:pStyle w:val="11"/>
            </w:pPr>
            <w:r>
              <w:t>其中：财政    资金</w:t>
            </w:r>
          </w:p>
        </w:tc>
        <w:tc>
          <w:tcPr>
            <w:tcW w:w="2551" w:type="dxa"/>
            <w:vAlign w:val="center"/>
          </w:tcPr>
          <w:p>
            <w:pPr>
              <w:pStyle w:val="13"/>
            </w:pPr>
            <w:r>
              <w:t>59.50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用于医保大厅工作人员的人员工资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1.每月25号前按时足额发放工资，保障劳务派遣人员正常工作和生活需要。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发放劳务派遣人员工资数</w:t>
            </w:r>
          </w:p>
        </w:tc>
        <w:tc>
          <w:tcPr>
            <w:tcW w:w="5386" w:type="dxa"/>
            <w:vAlign w:val="center"/>
          </w:tcPr>
          <w:p>
            <w:pPr>
              <w:pStyle w:val="13"/>
            </w:pPr>
            <w:r>
              <w:t>保障劳务派遣人员人数</w:t>
            </w:r>
          </w:p>
        </w:tc>
        <w:tc>
          <w:tcPr>
            <w:tcW w:w="2268" w:type="dxa"/>
            <w:vAlign w:val="center"/>
          </w:tcPr>
          <w:p>
            <w:pPr>
              <w:pStyle w:val="13"/>
            </w:pPr>
            <w:r>
              <w:t>10人次</w:t>
            </w:r>
          </w:p>
        </w:tc>
        <w:tc>
          <w:tcPr>
            <w:tcW w:w="1276" w:type="dxa"/>
            <w:vAlign w:val="center"/>
          </w:tcPr>
          <w:p>
            <w:pPr>
              <w:pStyle w:val="13"/>
            </w:pPr>
            <w:r>
              <w:t>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按月足额拨付资金</w:t>
            </w:r>
          </w:p>
        </w:tc>
        <w:tc>
          <w:tcPr>
            <w:tcW w:w="5386" w:type="dxa"/>
            <w:vAlign w:val="center"/>
          </w:tcPr>
          <w:p>
            <w:pPr>
              <w:pStyle w:val="13"/>
            </w:pPr>
            <w:r>
              <w:t>按月足额拨付资金</w:t>
            </w:r>
          </w:p>
        </w:tc>
        <w:tc>
          <w:tcPr>
            <w:tcW w:w="2268" w:type="dxa"/>
            <w:vAlign w:val="center"/>
          </w:tcPr>
          <w:p>
            <w:pPr>
              <w:pStyle w:val="13"/>
            </w:pPr>
            <w:r>
              <w:t>≤25每月25号之前</w:t>
            </w:r>
          </w:p>
        </w:tc>
        <w:tc>
          <w:tcPr>
            <w:tcW w:w="1276" w:type="dxa"/>
            <w:vAlign w:val="center"/>
          </w:tcPr>
          <w:p>
            <w:pPr>
              <w:pStyle w:val="13"/>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100百分比</w:t>
            </w:r>
          </w:p>
        </w:tc>
        <w:tc>
          <w:tcPr>
            <w:tcW w:w="1276" w:type="dxa"/>
            <w:vAlign w:val="center"/>
          </w:tcPr>
          <w:p>
            <w:pPr>
              <w:pStyle w:val="13"/>
            </w:pPr>
            <w:r>
              <w:t>发放核定数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反映劳务派遣人员工资费用情况</w:t>
            </w:r>
          </w:p>
        </w:tc>
        <w:tc>
          <w:tcPr>
            <w:tcW w:w="2268" w:type="dxa"/>
            <w:vAlign w:val="center"/>
          </w:tcPr>
          <w:p>
            <w:pPr>
              <w:pStyle w:val="13"/>
            </w:pPr>
            <w:r>
              <w:t>≤3.66万元</w:t>
            </w:r>
          </w:p>
        </w:tc>
        <w:tc>
          <w:tcPr>
            <w:tcW w:w="1276" w:type="dxa"/>
            <w:vAlign w:val="center"/>
          </w:tcPr>
          <w:p>
            <w:pPr>
              <w:pStyle w:val="13"/>
            </w:pPr>
            <w:r>
              <w:t>发放核定数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2268" w:type="dxa"/>
            <w:vAlign w:val="center"/>
          </w:tcPr>
          <w:p>
            <w:pPr>
              <w:pStyle w:val="13"/>
            </w:pPr>
            <w:r>
              <w:t>100百分比</w:t>
            </w:r>
          </w:p>
        </w:tc>
        <w:tc>
          <w:tcPr>
            <w:tcW w:w="1276" w:type="dxa"/>
            <w:vAlign w:val="center"/>
          </w:tcPr>
          <w:p>
            <w:pPr>
              <w:pStyle w:val="13"/>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按“三保”要求工资长期效益保持率</w:t>
            </w:r>
          </w:p>
        </w:tc>
        <w:tc>
          <w:tcPr>
            <w:tcW w:w="5386" w:type="dxa"/>
            <w:vAlign w:val="center"/>
          </w:tcPr>
          <w:p>
            <w:pPr>
              <w:pStyle w:val="13"/>
            </w:pPr>
            <w:r>
              <w:t>按“三保”要求工资长期效益保持率</w:t>
            </w:r>
          </w:p>
        </w:tc>
        <w:tc>
          <w:tcPr>
            <w:tcW w:w="2268" w:type="dxa"/>
            <w:vAlign w:val="center"/>
          </w:tcPr>
          <w:p>
            <w:pPr>
              <w:pStyle w:val="13"/>
            </w:pPr>
            <w:r>
              <w:t>100百分比</w:t>
            </w:r>
          </w:p>
        </w:tc>
        <w:tc>
          <w:tcPr>
            <w:tcW w:w="1276" w:type="dxa"/>
            <w:vAlign w:val="center"/>
          </w:tcPr>
          <w:p>
            <w:pPr>
              <w:pStyle w:val="13"/>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劳务派遣人员满意度</w:t>
            </w:r>
          </w:p>
        </w:tc>
        <w:tc>
          <w:tcPr>
            <w:tcW w:w="2268" w:type="dxa"/>
            <w:vAlign w:val="center"/>
          </w:tcPr>
          <w:p>
            <w:pPr>
              <w:pStyle w:val="13"/>
            </w:pPr>
            <w:r>
              <w:t>≥98百分比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10、职工医保管理工作经费绩效目标表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13080025P00642210002J</w:t>
            </w:r>
          </w:p>
        </w:tc>
        <w:tc>
          <w:tcPr>
            <w:tcW w:w="2835" w:type="dxa"/>
            <w:vAlign w:val="center"/>
          </w:tcPr>
          <w:p>
            <w:pPr>
              <w:pStyle w:val="11"/>
            </w:pPr>
            <w:r>
              <w:t>项目名称</w:t>
            </w:r>
          </w:p>
        </w:tc>
        <w:tc>
          <w:tcPr>
            <w:tcW w:w="6095" w:type="dxa"/>
            <w:gridSpan w:val="3"/>
            <w:vAlign w:val="center"/>
          </w:tcPr>
          <w:p>
            <w:pPr>
              <w:pStyle w:val="13"/>
            </w:pPr>
            <w:r>
              <w:t>职工医保管理工作经费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用于单位正常的办公经费、邮电费、差旅费、印刷费。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30%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1.根据财政支出计划，每个月月底前完成当月的正常支出，保证单位正常运转。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工作日保障单位正常运转</w:t>
            </w:r>
          </w:p>
        </w:tc>
        <w:tc>
          <w:tcPr>
            <w:tcW w:w="5386" w:type="dxa"/>
            <w:vAlign w:val="center"/>
          </w:tcPr>
          <w:p>
            <w:pPr>
              <w:pStyle w:val="13"/>
            </w:pPr>
            <w:r>
              <w:t>工作日保障单位正常运转</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经费支出按票据金额支出</w:t>
            </w:r>
          </w:p>
        </w:tc>
        <w:tc>
          <w:tcPr>
            <w:tcW w:w="2268" w:type="dxa"/>
            <w:vAlign w:val="center"/>
          </w:tcPr>
          <w:p>
            <w:pPr>
              <w:pStyle w:val="13"/>
            </w:pPr>
            <w:r>
              <w:t>100百分比</w:t>
            </w:r>
          </w:p>
        </w:tc>
        <w:tc>
          <w:tcPr>
            <w:tcW w:w="1276" w:type="dxa"/>
            <w:vAlign w:val="center"/>
          </w:tcPr>
          <w:p>
            <w:pPr>
              <w:pStyle w:val="13"/>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按时间进度要求支付使用资金</w:t>
            </w:r>
          </w:p>
        </w:tc>
        <w:tc>
          <w:tcPr>
            <w:tcW w:w="2268" w:type="dxa"/>
            <w:vAlign w:val="center"/>
          </w:tcPr>
          <w:p>
            <w:pPr>
              <w:pStyle w:val="13"/>
            </w:pPr>
            <w:r>
              <w:t>≤30月底30号前完成</w:t>
            </w:r>
          </w:p>
        </w:tc>
        <w:tc>
          <w:tcPr>
            <w:tcW w:w="1276" w:type="dxa"/>
            <w:vAlign w:val="center"/>
          </w:tcPr>
          <w:p>
            <w:pPr>
              <w:pStyle w:val="13"/>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经费总成本</w:t>
            </w:r>
          </w:p>
        </w:tc>
        <w:tc>
          <w:tcPr>
            <w:tcW w:w="5386" w:type="dxa"/>
            <w:vAlign w:val="center"/>
          </w:tcPr>
          <w:p>
            <w:pPr>
              <w:pStyle w:val="13"/>
            </w:pPr>
            <w:r>
              <w:t>本年经费总成本</w:t>
            </w:r>
          </w:p>
        </w:tc>
        <w:tc>
          <w:tcPr>
            <w:tcW w:w="2268" w:type="dxa"/>
            <w:vAlign w:val="center"/>
          </w:tcPr>
          <w:p>
            <w:pPr>
              <w:pStyle w:val="13"/>
            </w:pPr>
            <w:r>
              <w:t>≤18万元</w:t>
            </w:r>
          </w:p>
        </w:tc>
        <w:tc>
          <w:tcPr>
            <w:tcW w:w="1276" w:type="dxa"/>
            <w:vAlign w:val="center"/>
          </w:tcPr>
          <w:p>
            <w:pPr>
              <w:pStyle w:val="13"/>
            </w:pPr>
            <w:r>
              <w:t>财政支出计划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“三公经费”有效控制情况</w:t>
            </w:r>
          </w:p>
        </w:tc>
        <w:tc>
          <w:tcPr>
            <w:tcW w:w="5386" w:type="dxa"/>
            <w:vAlign w:val="center"/>
          </w:tcPr>
          <w:p>
            <w:pPr>
              <w:pStyle w:val="13"/>
            </w:pPr>
            <w:r>
              <w:t>有效控制三公经费支出</w:t>
            </w:r>
          </w:p>
        </w:tc>
        <w:tc>
          <w:tcPr>
            <w:tcW w:w="2268" w:type="dxa"/>
            <w:vAlign w:val="center"/>
          </w:tcPr>
          <w:p>
            <w:pPr>
              <w:pStyle w:val="13"/>
            </w:pPr>
            <w:r>
              <w:t>≤18小于前三年平均数</w:t>
            </w:r>
          </w:p>
        </w:tc>
        <w:tc>
          <w:tcPr>
            <w:tcW w:w="1276" w:type="dxa"/>
            <w:vAlign w:val="center"/>
          </w:tcPr>
          <w:p>
            <w:pPr>
              <w:pStyle w:val="13"/>
            </w:pPr>
            <w:r>
              <w:t>响应“压缩开支，厉行节约”要求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提供公共服务质量</w:t>
            </w:r>
          </w:p>
        </w:tc>
        <w:tc>
          <w:tcPr>
            <w:tcW w:w="5386" w:type="dxa"/>
            <w:vAlign w:val="center"/>
          </w:tcPr>
          <w:p>
            <w:pPr>
              <w:pStyle w:val="13"/>
            </w:pPr>
            <w:r>
              <w:t>提供公共服务质量</w:t>
            </w:r>
          </w:p>
        </w:tc>
        <w:tc>
          <w:tcPr>
            <w:tcW w:w="2268" w:type="dxa"/>
            <w:vAlign w:val="center"/>
          </w:tcPr>
          <w:p>
            <w:pPr>
              <w:pStyle w:val="13"/>
            </w:pPr>
            <w:r>
              <w:t>&gt;10较上年度增加10%</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100百分比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11、市级领导干部医药费（含二级巡视员）、燕赵英才服务A卡持有人医保待遇资金绩效目标表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13080025P00092510002T</w:t>
            </w:r>
          </w:p>
        </w:tc>
        <w:tc>
          <w:tcPr>
            <w:tcW w:w="2835" w:type="dxa"/>
            <w:vAlign w:val="center"/>
          </w:tcPr>
          <w:p>
            <w:pPr>
              <w:pStyle w:val="11"/>
            </w:pPr>
            <w:r>
              <w:t>项目名称</w:t>
            </w:r>
          </w:p>
        </w:tc>
        <w:tc>
          <w:tcPr>
            <w:tcW w:w="6095" w:type="dxa"/>
            <w:gridSpan w:val="3"/>
            <w:vAlign w:val="center"/>
          </w:tcPr>
          <w:p>
            <w:pPr>
              <w:pStyle w:val="13"/>
            </w:pPr>
            <w:r>
              <w:t>市级领导干部医药费（含二级巡视员）、燕赵英才服务A卡持有人医保待遇资金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用于市级领导干部及A卡人才的医药费补助。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1.2025年12月31日前用共计210万来保障市级领导干部、燕赵英才服务及A卡人才持有人员共256人的医保待遇，并得到有效提高。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市级领导干部及A卡人才补助人数</w:t>
            </w:r>
          </w:p>
        </w:tc>
        <w:tc>
          <w:tcPr>
            <w:tcW w:w="5386" w:type="dxa"/>
            <w:vAlign w:val="center"/>
          </w:tcPr>
          <w:p>
            <w:pPr>
              <w:pStyle w:val="13"/>
            </w:pPr>
            <w:r>
              <w:t>市级领导干部（含二级巡视员）203人A卡人才53人</w:t>
            </w:r>
          </w:p>
        </w:tc>
        <w:tc>
          <w:tcPr>
            <w:tcW w:w="2268" w:type="dxa"/>
            <w:vAlign w:val="center"/>
          </w:tcPr>
          <w:p>
            <w:pPr>
              <w:pStyle w:val="13"/>
            </w:pPr>
            <w:r>
              <w:t>256人次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补助覆盖率</w:t>
            </w:r>
          </w:p>
        </w:tc>
        <w:tc>
          <w:tcPr>
            <w:tcW w:w="5386" w:type="dxa"/>
            <w:vAlign w:val="center"/>
          </w:tcPr>
          <w:p>
            <w:pPr>
              <w:pStyle w:val="13"/>
            </w:pPr>
            <w:r>
              <w:t>市级领导干部和A卡人才补助覆盖率</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医保保障工作完成及时性</w:t>
            </w:r>
          </w:p>
        </w:tc>
        <w:tc>
          <w:tcPr>
            <w:tcW w:w="5386" w:type="dxa"/>
            <w:vAlign w:val="center"/>
          </w:tcPr>
          <w:p>
            <w:pPr>
              <w:pStyle w:val="13"/>
            </w:pPr>
            <w:r>
              <w:t>反映市级领导干部及A卡人才医保保障落实及时性</w:t>
            </w:r>
          </w:p>
        </w:tc>
        <w:tc>
          <w:tcPr>
            <w:tcW w:w="2268" w:type="dxa"/>
            <w:vAlign w:val="center"/>
          </w:tcPr>
          <w:p>
            <w:pPr>
              <w:pStyle w:val="13"/>
            </w:pPr>
            <w:r>
              <w:t>≤312025年12月31日前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项目资金总额</w:t>
            </w:r>
          </w:p>
        </w:tc>
        <w:tc>
          <w:tcPr>
            <w:tcW w:w="5386" w:type="dxa"/>
            <w:vAlign w:val="center"/>
          </w:tcPr>
          <w:p>
            <w:pPr>
              <w:pStyle w:val="13"/>
            </w:pPr>
            <w:r>
              <w:t>市级领导干部及A卡人才项目资金总额</w:t>
            </w:r>
          </w:p>
        </w:tc>
        <w:tc>
          <w:tcPr>
            <w:tcW w:w="2268" w:type="dxa"/>
            <w:vAlign w:val="center"/>
          </w:tcPr>
          <w:p>
            <w:pPr>
              <w:pStyle w:val="13"/>
            </w:pPr>
            <w:r>
              <w:t>210万元</w:t>
            </w:r>
          </w:p>
        </w:tc>
        <w:tc>
          <w:tcPr>
            <w:tcW w:w="1276" w:type="dxa"/>
            <w:vAlign w:val="center"/>
          </w:tcPr>
          <w:p>
            <w:pPr>
              <w:pStyle w:val="13"/>
            </w:pPr>
            <w:r>
              <w:t>预算批复文件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领导干部及A卡人才药费的保障系数</w:t>
            </w:r>
          </w:p>
        </w:tc>
        <w:tc>
          <w:tcPr>
            <w:tcW w:w="5386" w:type="dxa"/>
            <w:vAlign w:val="center"/>
          </w:tcPr>
          <w:p>
            <w:pPr>
              <w:pStyle w:val="13"/>
            </w:pPr>
            <w:r>
              <w:t>反映领导干部医药费支付额度能否满足领导干部的基本药费需求</w:t>
            </w:r>
          </w:p>
        </w:tc>
        <w:tc>
          <w:tcPr>
            <w:tcW w:w="2268" w:type="dxa"/>
            <w:vAlign w:val="center"/>
          </w:tcPr>
          <w:p>
            <w:pPr>
              <w:pStyle w:val="13"/>
            </w:pPr>
            <w:r>
              <w:t>≥98百分比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享受待遇人员满意度</w:t>
            </w:r>
          </w:p>
        </w:tc>
        <w:tc>
          <w:tcPr>
            <w:tcW w:w="5386" w:type="dxa"/>
            <w:vAlign w:val="center"/>
          </w:tcPr>
          <w:p>
            <w:pPr>
              <w:pStyle w:val="13"/>
            </w:pPr>
            <w:r>
              <w:t>考察领导干部对药费基金发放情况的满意度</w:t>
            </w:r>
          </w:p>
        </w:tc>
        <w:tc>
          <w:tcPr>
            <w:tcW w:w="2268" w:type="dxa"/>
            <w:vAlign w:val="center"/>
          </w:tcPr>
          <w:p>
            <w:pPr>
              <w:pStyle w:val="13"/>
            </w:pPr>
            <w:r>
              <w:t>≥98百分比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12、行政事业单位职工医疗保险（补缴以前年度欠缴职工医保资金）绩效目标表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13080025P000924100025</w:t>
            </w:r>
          </w:p>
        </w:tc>
        <w:tc>
          <w:tcPr>
            <w:tcW w:w="2835" w:type="dxa"/>
            <w:vAlign w:val="center"/>
          </w:tcPr>
          <w:p>
            <w:pPr>
              <w:pStyle w:val="11"/>
            </w:pPr>
            <w:r>
              <w:t>项目名称</w:t>
            </w:r>
          </w:p>
        </w:tc>
        <w:tc>
          <w:tcPr>
            <w:tcW w:w="6095" w:type="dxa"/>
            <w:gridSpan w:val="3"/>
            <w:vAlign w:val="center"/>
          </w:tcPr>
          <w:p>
            <w:pPr>
              <w:pStyle w:val="13"/>
            </w:pPr>
            <w:r>
              <w:t>行政事业单位职工医疗保险（补缴以前年度欠缴职工医保资金）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用于补缴以前年度欠缴的职工医疗保险费用。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1.保障1350人欠缴职工享受正常的基本医疗保险待遇，2025年12月底前支付3000万用于欠缴职工医疗保险的缴纳，提高欠缴职工生活水平。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需补缴医疗保险职工数量</w:t>
            </w:r>
          </w:p>
        </w:tc>
        <w:tc>
          <w:tcPr>
            <w:tcW w:w="5386" w:type="dxa"/>
            <w:vAlign w:val="center"/>
          </w:tcPr>
          <w:p>
            <w:pPr>
              <w:pStyle w:val="13"/>
            </w:pPr>
            <w:r>
              <w:t>需补缴医疗保险职工数量</w:t>
            </w:r>
          </w:p>
        </w:tc>
        <w:tc>
          <w:tcPr>
            <w:tcW w:w="2268" w:type="dxa"/>
            <w:vAlign w:val="center"/>
          </w:tcPr>
          <w:p>
            <w:pPr>
              <w:pStyle w:val="13"/>
            </w:pPr>
            <w:r>
              <w:t>1350人次</w:t>
            </w:r>
          </w:p>
        </w:tc>
        <w:tc>
          <w:tcPr>
            <w:tcW w:w="1276" w:type="dxa"/>
            <w:vAlign w:val="center"/>
          </w:tcPr>
          <w:p>
            <w:pPr>
              <w:pStyle w:val="13"/>
            </w:pPr>
            <w:r>
              <w:t>年度计划值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医疗保险补缴完成率</w:t>
            </w:r>
          </w:p>
        </w:tc>
        <w:tc>
          <w:tcPr>
            <w:tcW w:w="5386" w:type="dxa"/>
            <w:vAlign w:val="center"/>
          </w:tcPr>
          <w:p>
            <w:pPr>
              <w:pStyle w:val="13"/>
            </w:pPr>
            <w:r>
              <w:t>医疗保险补缴完成率情况</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医疗保险补缴完成及时性</w:t>
            </w:r>
          </w:p>
        </w:tc>
        <w:tc>
          <w:tcPr>
            <w:tcW w:w="5386" w:type="dxa"/>
            <w:vAlign w:val="center"/>
          </w:tcPr>
          <w:p>
            <w:pPr>
              <w:pStyle w:val="13"/>
            </w:pPr>
            <w:r>
              <w:t>按计划及时完成补缴任务不延期</w:t>
            </w:r>
          </w:p>
        </w:tc>
        <w:tc>
          <w:tcPr>
            <w:tcW w:w="2268" w:type="dxa"/>
            <w:vAlign w:val="center"/>
          </w:tcPr>
          <w:p>
            <w:pPr>
              <w:pStyle w:val="13"/>
            </w:pPr>
            <w:r>
              <w:t>≤302025年12月30日前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反映医疗保险费用补缴情况</w:t>
            </w:r>
          </w:p>
        </w:tc>
        <w:tc>
          <w:tcPr>
            <w:tcW w:w="2268" w:type="dxa"/>
            <w:vAlign w:val="center"/>
          </w:tcPr>
          <w:p>
            <w:pPr>
              <w:pStyle w:val="13"/>
            </w:pPr>
            <w:r>
              <w:t>3000万元</w:t>
            </w:r>
          </w:p>
        </w:tc>
        <w:tc>
          <w:tcPr>
            <w:tcW w:w="1276" w:type="dxa"/>
            <w:vAlign w:val="center"/>
          </w:tcPr>
          <w:p>
            <w:pPr>
              <w:pStyle w:val="13"/>
            </w:pPr>
            <w:r>
              <w:t>预算批复文件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补缴医疗保险覆盖率</w:t>
            </w:r>
          </w:p>
        </w:tc>
        <w:tc>
          <w:tcPr>
            <w:tcW w:w="5386" w:type="dxa"/>
            <w:vAlign w:val="center"/>
          </w:tcPr>
          <w:p>
            <w:pPr>
              <w:pStyle w:val="13"/>
            </w:pPr>
            <w:r>
              <w:t>反映欠缴的职工基本医疗补缴情况</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补缴医疗保险职工满意度</w:t>
            </w:r>
          </w:p>
        </w:tc>
        <w:tc>
          <w:tcPr>
            <w:tcW w:w="5386" w:type="dxa"/>
            <w:vAlign w:val="center"/>
          </w:tcPr>
          <w:p>
            <w:pPr>
              <w:pStyle w:val="13"/>
            </w:pPr>
            <w:r>
              <w:t>补缴医疗保险职工满意度</w:t>
            </w:r>
          </w:p>
        </w:tc>
        <w:tc>
          <w:tcPr>
            <w:tcW w:w="2268" w:type="dxa"/>
            <w:vAlign w:val="center"/>
          </w:tcPr>
          <w:p>
            <w:pPr>
              <w:pStyle w:val="13"/>
            </w:pPr>
            <w:r>
              <w:t>≥98百分比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13、居民医保管理工作经费绩效目标表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13080025P00013110004L</w:t>
            </w:r>
          </w:p>
        </w:tc>
        <w:tc>
          <w:tcPr>
            <w:tcW w:w="2835" w:type="dxa"/>
            <w:vAlign w:val="center"/>
          </w:tcPr>
          <w:p>
            <w:pPr>
              <w:pStyle w:val="11"/>
            </w:pPr>
            <w:r>
              <w:t>项目名称</w:t>
            </w:r>
          </w:p>
        </w:tc>
        <w:tc>
          <w:tcPr>
            <w:tcW w:w="6095" w:type="dxa"/>
            <w:gridSpan w:val="3"/>
            <w:vAlign w:val="center"/>
          </w:tcPr>
          <w:p>
            <w:pPr>
              <w:pStyle w:val="13"/>
            </w:pPr>
            <w:r>
              <w:t>居民医保管理工作经费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合理安排财政拨付的单位运转经费，保证中心正常运转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1.合理安排财政资金支出计划，遵循单位财务规章制度，在预算内按进度支出，保障中心正常运转，服务于中心全年目标任务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工作日工作时间不低于8小时</w:t>
            </w:r>
          </w:p>
        </w:tc>
        <w:tc>
          <w:tcPr>
            <w:tcW w:w="2268" w:type="dxa"/>
            <w:vAlign w:val="center"/>
          </w:tcPr>
          <w:p>
            <w:pPr>
              <w:pStyle w:val="13"/>
            </w:pPr>
            <w:r>
              <w:t>≥8小时</w:t>
            </w:r>
          </w:p>
        </w:tc>
        <w:tc>
          <w:tcPr>
            <w:tcW w:w="1276" w:type="dxa"/>
            <w:vAlign w:val="center"/>
          </w:tcPr>
          <w:p>
            <w:pPr>
              <w:pStyle w:val="13"/>
            </w:pPr>
            <w:r>
              <w:t>行政事业单位法定工作日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100百分比</w:t>
            </w:r>
          </w:p>
        </w:tc>
        <w:tc>
          <w:tcPr>
            <w:tcW w:w="1276" w:type="dxa"/>
            <w:vAlign w:val="center"/>
          </w:tcPr>
          <w:p>
            <w:pPr>
              <w:pStyle w:val="13"/>
            </w:pPr>
            <w:r>
              <w:t>符合财务管理制度的内控要求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按计划及时支付资金</w:t>
            </w:r>
          </w:p>
        </w:tc>
        <w:tc>
          <w:tcPr>
            <w:tcW w:w="2268" w:type="dxa"/>
            <w:vAlign w:val="center"/>
          </w:tcPr>
          <w:p>
            <w:pPr>
              <w:pStyle w:val="13"/>
            </w:pPr>
            <w:r>
              <w:t>≤12月</w:t>
            </w:r>
          </w:p>
        </w:tc>
        <w:tc>
          <w:tcPr>
            <w:tcW w:w="1276" w:type="dxa"/>
            <w:vAlign w:val="center"/>
          </w:tcPr>
          <w:p>
            <w:pPr>
              <w:pStyle w:val="13"/>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 成本</w:t>
            </w:r>
          </w:p>
        </w:tc>
        <w:tc>
          <w:tcPr>
            <w:tcW w:w="5386" w:type="dxa"/>
            <w:vAlign w:val="center"/>
          </w:tcPr>
          <w:p>
            <w:pPr>
              <w:pStyle w:val="13"/>
            </w:pPr>
            <w:r>
              <w:t>居民医保管理工作经费经费额度</w:t>
            </w:r>
          </w:p>
        </w:tc>
        <w:tc>
          <w:tcPr>
            <w:tcW w:w="2268" w:type="dxa"/>
            <w:vAlign w:val="center"/>
          </w:tcPr>
          <w:p>
            <w:pPr>
              <w:pStyle w:val="13"/>
            </w:pPr>
            <w:r>
              <w:t>≤9万元</w:t>
            </w:r>
          </w:p>
        </w:tc>
        <w:tc>
          <w:tcPr>
            <w:tcW w:w="1276" w:type="dxa"/>
            <w:vAlign w:val="center"/>
          </w:tcPr>
          <w:p>
            <w:pPr>
              <w:pStyle w:val="13"/>
            </w:pPr>
            <w:r>
              <w:t>固定事业人均标准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提升公共服务质量</w:t>
            </w:r>
          </w:p>
        </w:tc>
        <w:tc>
          <w:tcPr>
            <w:tcW w:w="5386" w:type="dxa"/>
            <w:vAlign w:val="center"/>
          </w:tcPr>
          <w:p>
            <w:pPr>
              <w:pStyle w:val="13"/>
            </w:pPr>
            <w:r>
              <w:t>提升定点医疗机构居民医保服务能力较上年提升百分比</w:t>
            </w:r>
          </w:p>
        </w:tc>
        <w:tc>
          <w:tcPr>
            <w:tcW w:w="2268" w:type="dxa"/>
            <w:vAlign w:val="center"/>
          </w:tcPr>
          <w:p>
            <w:pPr>
              <w:pStyle w:val="13"/>
            </w:pPr>
            <w:r>
              <w:t>≥10百分比</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通过问卷调查工作人员对中心服务满意度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14、意外伤害认定经费绩效目标表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13080025P00CCA410003Q</w:t>
            </w:r>
          </w:p>
        </w:tc>
        <w:tc>
          <w:tcPr>
            <w:tcW w:w="2835" w:type="dxa"/>
            <w:vAlign w:val="center"/>
          </w:tcPr>
          <w:p>
            <w:pPr>
              <w:pStyle w:val="11"/>
            </w:pPr>
            <w:r>
              <w:t>项目名称</w:t>
            </w:r>
          </w:p>
        </w:tc>
        <w:tc>
          <w:tcPr>
            <w:tcW w:w="6095" w:type="dxa"/>
            <w:gridSpan w:val="3"/>
            <w:vAlign w:val="center"/>
          </w:tcPr>
          <w:p>
            <w:pPr>
              <w:pStyle w:val="13"/>
            </w:pPr>
            <w:r>
              <w:t>意外伤害认定经费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用以支付意外伤害鉴定服务费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1.截止2025年12月31日前，为保障意外伤害鉴定工作顺利进行需项目经费6万元，用以支付签约保险公司鉴定费用，继而保障居民医保意外伤害鉴定工作有序及时完成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医保意外伤害鉴定工作数量</w:t>
            </w:r>
          </w:p>
        </w:tc>
        <w:tc>
          <w:tcPr>
            <w:tcW w:w="5386" w:type="dxa"/>
            <w:vAlign w:val="center"/>
          </w:tcPr>
          <w:p>
            <w:pPr>
              <w:pStyle w:val="13"/>
            </w:pPr>
            <w:r>
              <w:t>意外伤害鉴定工作数量</w:t>
            </w:r>
          </w:p>
        </w:tc>
        <w:tc>
          <w:tcPr>
            <w:tcW w:w="2268" w:type="dxa"/>
            <w:vAlign w:val="center"/>
          </w:tcPr>
          <w:p>
            <w:pPr>
              <w:pStyle w:val="13"/>
            </w:pPr>
            <w:r>
              <w:t>≥100件</w:t>
            </w:r>
          </w:p>
        </w:tc>
        <w:tc>
          <w:tcPr>
            <w:tcW w:w="1276" w:type="dxa"/>
            <w:vAlign w:val="center"/>
          </w:tcPr>
          <w:p>
            <w:pPr>
              <w:pStyle w:val="13"/>
            </w:pPr>
            <w:r>
              <w:t>历年数据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居民医保意外伤害鉴定数量完成率</w:t>
            </w:r>
          </w:p>
        </w:tc>
        <w:tc>
          <w:tcPr>
            <w:tcW w:w="5386" w:type="dxa"/>
            <w:vAlign w:val="center"/>
          </w:tcPr>
          <w:p>
            <w:pPr>
              <w:pStyle w:val="13"/>
            </w:pPr>
            <w:r>
              <w:t>居民医保意外伤害鉴定数量完成率</w:t>
            </w:r>
          </w:p>
        </w:tc>
        <w:tc>
          <w:tcPr>
            <w:tcW w:w="2268" w:type="dxa"/>
            <w:vAlign w:val="center"/>
          </w:tcPr>
          <w:p>
            <w:pPr>
              <w:pStyle w:val="13"/>
            </w:pPr>
            <w:r>
              <w:t>≥80百分比</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意外伤害鉴定费用及时支付</w:t>
            </w:r>
          </w:p>
        </w:tc>
        <w:tc>
          <w:tcPr>
            <w:tcW w:w="5386" w:type="dxa"/>
            <w:vAlign w:val="center"/>
          </w:tcPr>
          <w:p>
            <w:pPr>
              <w:pStyle w:val="13"/>
            </w:pPr>
            <w:r>
              <w:t>接到保险公司鉴定费发票后7个工作日进行支付</w:t>
            </w:r>
          </w:p>
        </w:tc>
        <w:tc>
          <w:tcPr>
            <w:tcW w:w="2268" w:type="dxa"/>
            <w:vAlign w:val="center"/>
          </w:tcPr>
          <w:p>
            <w:pPr>
              <w:pStyle w:val="13"/>
            </w:pPr>
            <w:r>
              <w:t>≤7工作日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调查费用</w:t>
            </w:r>
          </w:p>
        </w:tc>
        <w:tc>
          <w:tcPr>
            <w:tcW w:w="5386" w:type="dxa"/>
            <w:vAlign w:val="center"/>
          </w:tcPr>
          <w:p>
            <w:pPr>
              <w:pStyle w:val="13"/>
            </w:pPr>
            <w:r>
              <w:t>每件调查费用</w:t>
            </w:r>
          </w:p>
        </w:tc>
        <w:tc>
          <w:tcPr>
            <w:tcW w:w="2268" w:type="dxa"/>
            <w:vAlign w:val="center"/>
          </w:tcPr>
          <w:p>
            <w:pPr>
              <w:pStyle w:val="13"/>
            </w:pPr>
            <w:r>
              <w:t>300元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受补助人医疗报销水平提高程度</w:t>
            </w:r>
          </w:p>
        </w:tc>
        <w:tc>
          <w:tcPr>
            <w:tcW w:w="5386" w:type="dxa"/>
            <w:vAlign w:val="center"/>
          </w:tcPr>
          <w:p>
            <w:pPr>
              <w:pStyle w:val="13"/>
            </w:pPr>
            <w:r>
              <w:t>受补助人在医疗报销方面的改善情况</w:t>
            </w:r>
          </w:p>
        </w:tc>
        <w:tc>
          <w:tcPr>
            <w:tcW w:w="2268" w:type="dxa"/>
            <w:vAlign w:val="center"/>
          </w:tcPr>
          <w:p>
            <w:pPr>
              <w:pStyle w:val="13"/>
            </w:pPr>
            <w:r>
              <w:t>≥90百分比</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通过问卷调查，满意和较满意的收益对象占全部调研对象的比率</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15、城乡居民医保市级财政补助资金绩效目标表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13080025P000923100033</w:t>
            </w:r>
          </w:p>
        </w:tc>
        <w:tc>
          <w:tcPr>
            <w:tcW w:w="2835" w:type="dxa"/>
            <w:vAlign w:val="center"/>
          </w:tcPr>
          <w:p>
            <w:pPr>
              <w:pStyle w:val="11"/>
            </w:pPr>
            <w:r>
              <w:t>项目名称</w:t>
            </w:r>
          </w:p>
        </w:tc>
        <w:tc>
          <w:tcPr>
            <w:tcW w:w="6095" w:type="dxa"/>
            <w:gridSpan w:val="3"/>
            <w:vAlign w:val="center"/>
          </w:tcPr>
          <w:p>
            <w:pPr>
              <w:pStyle w:val="13"/>
            </w:pPr>
            <w:r>
              <w:t>城乡居民医保市级财政补助资金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1964.79</w:t>
            </w:r>
          </w:p>
        </w:tc>
        <w:tc>
          <w:tcPr>
            <w:tcW w:w="2835" w:type="dxa"/>
            <w:vAlign w:val="center"/>
          </w:tcPr>
          <w:p>
            <w:pPr>
              <w:pStyle w:val="11"/>
            </w:pPr>
            <w:r>
              <w:t>其中：财政    资金</w:t>
            </w:r>
          </w:p>
        </w:tc>
        <w:tc>
          <w:tcPr>
            <w:tcW w:w="2551" w:type="dxa"/>
            <w:vAlign w:val="center"/>
          </w:tcPr>
          <w:p>
            <w:pPr>
              <w:pStyle w:val="13"/>
            </w:pPr>
            <w:r>
              <w:t>1964.79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用于实现居民医保参保完成率，达到财政资金全部到位，收支平衡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1.2025年12月底前完成支出1964.79万元，用于实现城乡居民医保参保当年完成95%参保率，达到财政资金全部到位，基金收支平衡，稳定参保人住院费用报销比例的目标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参保人数</w:t>
            </w:r>
          </w:p>
        </w:tc>
        <w:tc>
          <w:tcPr>
            <w:tcW w:w="5386" w:type="dxa"/>
            <w:vAlign w:val="center"/>
          </w:tcPr>
          <w:p>
            <w:pPr>
              <w:pStyle w:val="13"/>
            </w:pPr>
            <w:r>
              <w:t>年末参保人数</w:t>
            </w:r>
          </w:p>
        </w:tc>
        <w:tc>
          <w:tcPr>
            <w:tcW w:w="2268" w:type="dxa"/>
            <w:vAlign w:val="center"/>
          </w:tcPr>
          <w:p>
            <w:pPr>
              <w:pStyle w:val="13"/>
            </w:pPr>
            <w:r>
              <w:t>≥261万人</w:t>
            </w:r>
          </w:p>
        </w:tc>
        <w:tc>
          <w:tcPr>
            <w:tcW w:w="1276" w:type="dxa"/>
            <w:vAlign w:val="center"/>
          </w:tcPr>
          <w:p>
            <w:pPr>
              <w:pStyle w:val="13"/>
            </w:pPr>
            <w:r>
              <w:t>2025年预算计划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以常住人口为基数计算的基本医保综合参保率</w:t>
            </w:r>
          </w:p>
        </w:tc>
        <w:tc>
          <w:tcPr>
            <w:tcW w:w="5386" w:type="dxa"/>
            <w:vAlign w:val="center"/>
          </w:tcPr>
          <w:p>
            <w:pPr>
              <w:pStyle w:val="13"/>
            </w:pPr>
            <w:r>
              <w:t>年末参保人数/常驻人口数</w:t>
            </w:r>
          </w:p>
        </w:tc>
        <w:tc>
          <w:tcPr>
            <w:tcW w:w="2268" w:type="dxa"/>
            <w:vAlign w:val="center"/>
          </w:tcPr>
          <w:p>
            <w:pPr>
              <w:pStyle w:val="13"/>
            </w:pPr>
            <w:r>
              <w:t>≥95百分比</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重复参保人数</w:t>
            </w:r>
          </w:p>
        </w:tc>
        <w:tc>
          <w:tcPr>
            <w:tcW w:w="5386" w:type="dxa"/>
            <w:vAlign w:val="center"/>
          </w:tcPr>
          <w:p>
            <w:pPr>
              <w:pStyle w:val="13"/>
            </w:pPr>
            <w:r>
              <w:t>统筹区内重复参保人数</w:t>
            </w:r>
          </w:p>
        </w:tc>
        <w:tc>
          <w:tcPr>
            <w:tcW w:w="2268" w:type="dxa"/>
            <w:vAlign w:val="center"/>
          </w:tcPr>
          <w:p>
            <w:pPr>
              <w:pStyle w:val="13"/>
            </w:pPr>
            <w:r>
              <w:t>0人</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虚报多报参保人数</w:t>
            </w:r>
          </w:p>
        </w:tc>
        <w:tc>
          <w:tcPr>
            <w:tcW w:w="5386" w:type="dxa"/>
            <w:vAlign w:val="center"/>
          </w:tcPr>
          <w:p>
            <w:pPr>
              <w:pStyle w:val="13"/>
            </w:pPr>
            <w:r>
              <w:t>虚报多报参保人数</w:t>
            </w:r>
          </w:p>
        </w:tc>
        <w:tc>
          <w:tcPr>
            <w:tcW w:w="2268" w:type="dxa"/>
            <w:vAlign w:val="center"/>
          </w:tcPr>
          <w:p>
            <w:pPr>
              <w:pStyle w:val="13"/>
            </w:pPr>
            <w:r>
              <w:t>0人</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参保人政策范围内住院费用报销比例</w:t>
            </w:r>
          </w:p>
        </w:tc>
        <w:tc>
          <w:tcPr>
            <w:tcW w:w="5386" w:type="dxa"/>
            <w:vAlign w:val="center"/>
          </w:tcPr>
          <w:p>
            <w:pPr>
              <w:pStyle w:val="13"/>
            </w:pPr>
            <w:r>
              <w:t>住院费用报销金额/政策范围内住院费用</w:t>
            </w:r>
          </w:p>
        </w:tc>
        <w:tc>
          <w:tcPr>
            <w:tcW w:w="2268" w:type="dxa"/>
            <w:vAlign w:val="center"/>
          </w:tcPr>
          <w:p>
            <w:pPr>
              <w:pStyle w:val="13"/>
            </w:pPr>
            <w:r>
              <w:t>≥65百分比</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参保人住院费用实际报销比例</w:t>
            </w:r>
          </w:p>
        </w:tc>
        <w:tc>
          <w:tcPr>
            <w:tcW w:w="5386" w:type="dxa"/>
            <w:vAlign w:val="center"/>
          </w:tcPr>
          <w:p>
            <w:pPr>
              <w:pStyle w:val="13"/>
            </w:pPr>
            <w:r>
              <w:t xml:space="preserve"> 参保人住院费用实际报销比例</w:t>
            </w:r>
          </w:p>
        </w:tc>
        <w:tc>
          <w:tcPr>
            <w:tcW w:w="2268" w:type="dxa"/>
            <w:vAlign w:val="center"/>
          </w:tcPr>
          <w:p>
            <w:pPr>
              <w:pStyle w:val="13"/>
            </w:pPr>
            <w:r>
              <w:t>≥50百分比</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实行按病种（组）、按人头付费等支付方式改革</w:t>
            </w:r>
          </w:p>
        </w:tc>
        <w:tc>
          <w:tcPr>
            <w:tcW w:w="5386" w:type="dxa"/>
            <w:vAlign w:val="center"/>
          </w:tcPr>
          <w:p>
            <w:pPr>
              <w:pStyle w:val="13"/>
            </w:pPr>
            <w:r>
              <w:t xml:space="preserve"> 是否实行按病种（组）、按人头付费等支付方式改革</w:t>
            </w:r>
          </w:p>
          <w:p>
            <w:pPr>
              <w:pStyle w:val="13"/>
            </w:pPr>
          </w:p>
        </w:tc>
        <w:tc>
          <w:tcPr>
            <w:tcW w:w="2268" w:type="dxa"/>
            <w:vAlign w:val="center"/>
          </w:tcPr>
          <w:p>
            <w:pPr>
              <w:pStyle w:val="13"/>
            </w:pPr>
            <w:r>
              <w:t>逐步推开</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开展门诊统筹</w:t>
            </w:r>
          </w:p>
        </w:tc>
        <w:tc>
          <w:tcPr>
            <w:tcW w:w="5386" w:type="dxa"/>
            <w:vAlign w:val="center"/>
          </w:tcPr>
          <w:p>
            <w:pPr>
              <w:pStyle w:val="13"/>
            </w:pPr>
            <w:r>
              <w:t xml:space="preserve"> 开展门诊统筹是否普及</w:t>
            </w:r>
          </w:p>
        </w:tc>
        <w:tc>
          <w:tcPr>
            <w:tcW w:w="2268" w:type="dxa"/>
            <w:vAlign w:val="center"/>
          </w:tcPr>
          <w:p>
            <w:pPr>
              <w:pStyle w:val="13"/>
            </w:pPr>
            <w:r>
              <w:t>普遍开展</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基金滚存结余可支付月数（月）</w:t>
            </w:r>
          </w:p>
        </w:tc>
        <w:tc>
          <w:tcPr>
            <w:tcW w:w="5386" w:type="dxa"/>
            <w:vAlign w:val="center"/>
          </w:tcPr>
          <w:p>
            <w:pPr>
              <w:pStyle w:val="13"/>
            </w:pPr>
            <w:r>
              <w:t>基金滚存结余/月均支出额</w:t>
            </w:r>
          </w:p>
        </w:tc>
        <w:tc>
          <w:tcPr>
            <w:tcW w:w="2268" w:type="dxa"/>
            <w:vAlign w:val="center"/>
          </w:tcPr>
          <w:p>
            <w:pPr>
              <w:pStyle w:val="13"/>
            </w:pPr>
            <w:r>
              <w:t>≥6月</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当年各级财政补助资金到位率</w:t>
            </w:r>
          </w:p>
        </w:tc>
        <w:tc>
          <w:tcPr>
            <w:tcW w:w="5386" w:type="dxa"/>
            <w:vAlign w:val="center"/>
          </w:tcPr>
          <w:p>
            <w:pPr>
              <w:pStyle w:val="13"/>
            </w:pPr>
            <w:r>
              <w:t>当年各级到位财政补助资金/应到位财政补助资金</w:t>
            </w:r>
          </w:p>
        </w:tc>
        <w:tc>
          <w:tcPr>
            <w:tcW w:w="2268" w:type="dxa"/>
            <w:vAlign w:val="center"/>
          </w:tcPr>
          <w:p>
            <w:pPr>
              <w:pStyle w:val="13"/>
            </w:pPr>
            <w:r>
              <w:t>100百分比</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人均各级财政补助标准</w:t>
            </w:r>
          </w:p>
        </w:tc>
        <w:tc>
          <w:tcPr>
            <w:tcW w:w="5386" w:type="dxa"/>
            <w:vAlign w:val="center"/>
          </w:tcPr>
          <w:p>
            <w:pPr>
              <w:pStyle w:val="13"/>
            </w:pPr>
            <w:r>
              <w:t>人均各级财政补助标准</w:t>
            </w:r>
          </w:p>
        </w:tc>
        <w:tc>
          <w:tcPr>
            <w:tcW w:w="2268" w:type="dxa"/>
            <w:vAlign w:val="center"/>
          </w:tcPr>
          <w:p>
            <w:pPr>
              <w:pStyle w:val="13"/>
            </w:pPr>
            <w:r>
              <w:t>≤700元</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减轻参保人员就医负担</w:t>
            </w:r>
          </w:p>
        </w:tc>
        <w:tc>
          <w:tcPr>
            <w:tcW w:w="5386" w:type="dxa"/>
            <w:vAlign w:val="center"/>
          </w:tcPr>
          <w:p>
            <w:pPr>
              <w:pStyle w:val="13"/>
            </w:pPr>
            <w:r>
              <w:t>减轻参保人员就医负担</w:t>
            </w:r>
          </w:p>
        </w:tc>
        <w:tc>
          <w:tcPr>
            <w:tcW w:w="2268" w:type="dxa"/>
            <w:vAlign w:val="center"/>
          </w:tcPr>
          <w:p>
            <w:pPr>
              <w:pStyle w:val="13"/>
            </w:pPr>
            <w:r>
              <w:t>成效明显</w:t>
            </w:r>
          </w:p>
        </w:tc>
        <w:tc>
          <w:tcPr>
            <w:tcW w:w="1276" w:type="dxa"/>
            <w:vAlign w:val="center"/>
          </w:tcPr>
          <w:p>
            <w:pPr>
              <w:pStyle w:val="13"/>
            </w:pPr>
            <w:r>
              <w:t>省医保局政策文件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参保对象满意度</w:t>
            </w:r>
          </w:p>
        </w:tc>
        <w:tc>
          <w:tcPr>
            <w:tcW w:w="5386" w:type="dxa"/>
            <w:vAlign w:val="center"/>
          </w:tcPr>
          <w:p>
            <w:pPr>
              <w:pStyle w:val="13"/>
            </w:pPr>
            <w:r>
              <w:t xml:space="preserve"> 参保对象对居民医保政策、医保经办和服务的满意度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447承德市医疗保障局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22.46</w:t>
            </w:r>
          </w:p>
        </w:tc>
        <w:tc>
          <w:tcPr>
            <w:tcW w:w="964" w:type="dxa"/>
            <w:vAlign w:val="center"/>
          </w:tcPr>
          <w:p>
            <w:pPr>
              <w:pStyle w:val="16"/>
            </w:pPr>
            <w:r>
              <w:t>22.46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承德市医疗保障局本级小计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22.46</w:t>
            </w:r>
          </w:p>
        </w:tc>
        <w:tc>
          <w:tcPr>
            <w:tcW w:w="964" w:type="dxa"/>
            <w:vAlign w:val="center"/>
          </w:tcPr>
          <w:p>
            <w:pPr>
              <w:pStyle w:val="16"/>
            </w:pPr>
            <w:r>
              <w:t>22.46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34.18</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次</w:t>
            </w:r>
          </w:p>
        </w:tc>
        <w:tc>
          <w:tcPr>
            <w:tcW w:w="850" w:type="dxa"/>
            <w:vAlign w:val="center"/>
          </w:tcPr>
          <w:p>
            <w:pPr>
              <w:pStyle w:val="12"/>
            </w:pPr>
            <w:r>
              <w:t>12</w:t>
            </w:r>
          </w:p>
        </w:tc>
        <w:tc>
          <w:tcPr>
            <w:tcW w:w="850" w:type="dxa"/>
            <w:vAlign w:val="center"/>
          </w:tcPr>
          <w:p>
            <w:pPr>
              <w:pStyle w:val="12"/>
            </w:pPr>
            <w:r>
              <w:t>0.05</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34.18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2</w:t>
            </w:r>
          </w:p>
        </w:tc>
        <w:tc>
          <w:tcPr>
            <w:tcW w:w="850" w:type="dxa"/>
            <w:vAlign w:val="center"/>
          </w:tcPr>
          <w:p>
            <w:pPr>
              <w:pStyle w:val="12"/>
            </w:pPr>
            <w:r>
              <w:t>0.40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医保局机关及医保经办服务大厅运行项目经费</w:t>
            </w:r>
          </w:p>
        </w:tc>
        <w:tc>
          <w:tcPr>
            <w:tcW w:w="964" w:type="dxa"/>
            <w:vAlign w:val="center"/>
          </w:tcPr>
          <w:p>
            <w:pPr>
              <w:pStyle w:val="12"/>
            </w:pPr>
            <w:r>
              <w:t>50.00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件</w:t>
            </w:r>
          </w:p>
        </w:tc>
        <w:tc>
          <w:tcPr>
            <w:tcW w:w="850" w:type="dxa"/>
            <w:vAlign w:val="center"/>
          </w:tcPr>
          <w:p>
            <w:pPr>
              <w:pStyle w:val="12"/>
            </w:pPr>
            <w:r>
              <w:t>50</w:t>
            </w:r>
          </w:p>
        </w:tc>
        <w:tc>
          <w:tcPr>
            <w:tcW w:w="850" w:type="dxa"/>
            <w:vAlign w:val="center"/>
          </w:tcPr>
          <w:p>
            <w:pPr>
              <w:pStyle w:val="12"/>
            </w:pPr>
            <w:r>
              <w:t>0.04</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医保局机关及医保经办服务大厅运行项目经费</w:t>
            </w:r>
          </w:p>
        </w:tc>
        <w:tc>
          <w:tcPr>
            <w:tcW w:w="964" w:type="dxa"/>
            <w:vAlign w:val="center"/>
          </w:tcPr>
          <w:p>
            <w:pPr>
              <w:pStyle w:val="12"/>
            </w:pPr>
            <w:r>
              <w:t>50.00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14.36</w:t>
            </w:r>
          </w:p>
        </w:tc>
        <w:tc>
          <w:tcPr>
            <w:tcW w:w="964" w:type="dxa"/>
            <w:vAlign w:val="center"/>
          </w:tcPr>
          <w:p>
            <w:pPr>
              <w:pStyle w:val="12"/>
            </w:pPr>
            <w:r>
              <w:t>14.36</w:t>
            </w:r>
          </w:p>
        </w:tc>
        <w:tc>
          <w:tcPr>
            <w:tcW w:w="964" w:type="dxa"/>
            <w:vAlign w:val="center"/>
          </w:tcPr>
          <w:p>
            <w:pPr>
              <w:pStyle w:val="12"/>
            </w:pPr>
            <w:r>
              <w:t>14.36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医疗保障管理和业务工作经费</w:t>
            </w:r>
          </w:p>
        </w:tc>
        <w:tc>
          <w:tcPr>
            <w:tcW w:w="964" w:type="dxa"/>
            <w:vAlign w:val="center"/>
          </w:tcPr>
          <w:p>
            <w:pPr>
              <w:pStyle w:val="12"/>
            </w:pPr>
            <w:r>
              <w:t>23.00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10</w:t>
            </w:r>
          </w:p>
        </w:tc>
        <w:tc>
          <w:tcPr>
            <w:tcW w:w="850" w:type="dxa"/>
            <w:vAlign w:val="center"/>
          </w:tcPr>
          <w:p>
            <w:pPr>
              <w:pStyle w:val="12"/>
            </w:pPr>
            <w:r>
              <w:t>0.07</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医疗保障管理和业务工作经费</w:t>
            </w:r>
          </w:p>
        </w:tc>
        <w:tc>
          <w:tcPr>
            <w:tcW w:w="964" w:type="dxa"/>
            <w:vAlign w:val="center"/>
          </w:tcPr>
          <w:p>
            <w:pPr>
              <w:pStyle w:val="12"/>
            </w:pPr>
            <w:r>
              <w:t>23.00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医疗保障管理和业务工作经费</w:t>
            </w:r>
          </w:p>
        </w:tc>
        <w:tc>
          <w:tcPr>
            <w:tcW w:w="964" w:type="dxa"/>
            <w:vAlign w:val="center"/>
          </w:tcPr>
          <w:p>
            <w:pPr>
              <w:pStyle w:val="12"/>
            </w:pPr>
            <w:r>
              <w:t>23.00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12</w:t>
            </w:r>
          </w:p>
        </w:tc>
        <w:tc>
          <w:tcPr>
            <w:tcW w:w="850" w:type="dxa"/>
            <w:vAlign w:val="center"/>
          </w:tcPr>
          <w:p>
            <w:pPr>
              <w:pStyle w:val="12"/>
            </w:pPr>
            <w:r>
              <w:t>0.25</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承德市医疗保障局（含所属单位）上年末固定资产金额为1076.14万元（详见下表）。本年度拟购置固定资产总额为0.70万元，已按要求列入政府采购预算，详见政府采购预算表。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447承德市医疗保障局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1076.14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60.80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309.57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1065</w:t>
            </w:r>
          </w:p>
        </w:tc>
        <w:tc>
          <w:tcPr>
            <w:tcW w:w="2835" w:type="dxa"/>
            <w:vAlign w:val="center"/>
          </w:tcPr>
          <w:p>
            <w:pPr>
              <w:pStyle w:val="12"/>
            </w:pPr>
            <w:r>
              <w:t>705.77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97F385C"/>
    <w:rsid w:val="6E1942B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TotalTime>16</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2025-03-06T10:03:00Z</dcterms:created>
  <dc:creator>Administrator</dc:creator>
  <cp:lastModifiedBy>Administrator</cp:lastModifiedBy>
  <cp:lastPrinted>2025-03-06T02:17:32Z</cp:lastPrinted>
  <dcterms:modified xsi:type="dcterms:W3CDTF">2025-03-06T02:32:26Z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