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rPr>
          <w:rFonts w:eastAsia="黑体" w:cs="Times New Roman"/>
          <w:b/>
          <w:bCs/>
          <w:sz w:val="48"/>
          <w:szCs w:val="48"/>
        </w:rPr>
      </w:pPr>
      <w:r>
        <w:rPr>
          <w:rFonts w:hint="eastAsia" w:eastAsia="黑体" w:cs="Times New Roman"/>
          <w:b/>
          <w:bCs/>
          <w:sz w:val="48"/>
          <w:szCs w:val="48"/>
          <w:lang w:val="en-US" w:eastAsia="zh-CN"/>
        </w:rPr>
        <w:t xml:space="preserve">                             </w:t>
      </w:r>
    </w:p>
    <w:p>
      <w:pPr>
        <w:pStyle w:val="8"/>
        <w:keepNext w:val="0"/>
        <w:keepLines w:val="0"/>
        <w:pageBreakBefore w:val="0"/>
        <w:widowControl w:val="0"/>
        <w:kinsoku/>
        <w:wordWrap/>
        <w:overflowPunct/>
        <w:topLinePunct/>
        <w:autoSpaceDE/>
        <w:autoSpaceDN/>
        <w:bidi w:val="0"/>
        <w:adjustRightInd/>
        <w:snapToGrid/>
        <w:ind w:left="0"/>
        <w:jc w:val="center"/>
        <w:textAlignment w:val="auto"/>
        <w:rPr>
          <w:rFonts w:eastAsia="黑体" w:cs="Times New Roman"/>
          <w:b/>
          <w:bCs/>
          <w:sz w:val="48"/>
          <w:szCs w:val="48"/>
        </w:rPr>
      </w:pPr>
    </w:p>
    <w:p>
      <w:pPr>
        <w:pStyle w:val="8"/>
        <w:keepNext w:val="0"/>
        <w:keepLines w:val="0"/>
        <w:pageBreakBefore w:val="0"/>
        <w:widowControl w:val="0"/>
        <w:kinsoku/>
        <w:wordWrap/>
        <w:overflowPunct/>
        <w:topLinePunct/>
        <w:autoSpaceDE/>
        <w:autoSpaceDN/>
        <w:bidi w:val="0"/>
        <w:adjustRightInd/>
        <w:snapToGrid/>
        <w:ind w:left="0"/>
        <w:jc w:val="center"/>
        <w:textAlignment w:val="auto"/>
        <w:rPr>
          <w:rFonts w:eastAsia="黑体" w:cs="Times New Roman"/>
          <w:b/>
          <w:bCs/>
          <w:sz w:val="48"/>
          <w:szCs w:val="48"/>
        </w:rPr>
      </w:pPr>
    </w:p>
    <w:p>
      <w:pPr>
        <w:pStyle w:val="8"/>
        <w:keepNext w:val="0"/>
        <w:keepLines w:val="0"/>
        <w:pageBreakBefore w:val="0"/>
        <w:widowControl w:val="0"/>
        <w:kinsoku/>
        <w:wordWrap/>
        <w:overflowPunct/>
        <w:topLinePunct/>
        <w:autoSpaceDE/>
        <w:autoSpaceDN/>
        <w:bidi w:val="0"/>
        <w:adjustRightInd/>
        <w:snapToGrid/>
        <w:ind w:left="0"/>
        <w:jc w:val="center"/>
        <w:textAlignment w:val="auto"/>
        <w:rPr>
          <w:rFonts w:eastAsia="黑体" w:cs="Times New Roman"/>
          <w:b/>
          <w:bCs/>
          <w:sz w:val="48"/>
          <w:szCs w:val="48"/>
        </w:rPr>
      </w:pPr>
    </w:p>
    <w:p>
      <w:pPr>
        <w:pStyle w:val="8"/>
        <w:ind w:left="0"/>
        <w:rPr>
          <w:rFonts w:eastAsia="黑体" w:cs="Times New Roman"/>
          <w:b/>
          <w:bCs/>
          <w:sz w:val="48"/>
          <w:szCs w:val="48"/>
        </w:rPr>
      </w:pPr>
    </w:p>
    <w:p>
      <w:pPr>
        <w:pStyle w:val="8"/>
        <w:ind w:left="0"/>
        <w:rPr>
          <w:rFonts w:eastAsia="黑体" w:cs="Times New Roman"/>
          <w:b/>
          <w:bCs/>
          <w:sz w:val="48"/>
          <w:szCs w:val="48"/>
        </w:rPr>
      </w:pPr>
    </w:p>
    <w:p>
      <w:pPr>
        <w:topLinePunct w:val="0"/>
        <w:autoSpaceDE w:val="0"/>
        <w:autoSpaceDN w:val="0"/>
        <w:ind w:firstLine="0" w:firstLineChars="0"/>
        <w:jc w:val="center"/>
        <w:rPr>
          <w:rFonts w:hint="eastAsia" w:ascii="黑体" w:hAnsi="黑体" w:eastAsia="黑体" w:cs="黑体"/>
          <w:b/>
          <w:bCs/>
          <w:sz w:val="48"/>
          <w:szCs w:val="48"/>
          <w:lang w:eastAsia="zh-CN"/>
        </w:rPr>
      </w:pPr>
      <w:bookmarkStart w:id="0" w:name="_Toc45292255"/>
      <w:r>
        <w:rPr>
          <w:rFonts w:hint="eastAsia" w:ascii="黑体" w:hAnsi="黑体" w:eastAsia="黑体" w:cs="黑体"/>
          <w:b/>
          <w:bCs/>
          <w:sz w:val="48"/>
          <w:szCs w:val="48"/>
          <w:lang w:val="en-US" w:eastAsia="zh-CN"/>
        </w:rPr>
        <w:t>2021年</w:t>
      </w:r>
      <w:r>
        <w:rPr>
          <w:rFonts w:hint="eastAsia" w:ascii="黑体" w:hAnsi="黑体" w:eastAsia="黑体" w:cs="黑体"/>
          <w:b/>
          <w:bCs/>
          <w:sz w:val="48"/>
          <w:szCs w:val="48"/>
          <w:lang w:eastAsia="zh-CN"/>
        </w:rPr>
        <w:t>医保经办大厅运行项目经费</w:t>
      </w:r>
    </w:p>
    <w:p>
      <w:pPr>
        <w:topLinePunct w:val="0"/>
        <w:autoSpaceDE w:val="0"/>
        <w:autoSpaceDN w:val="0"/>
        <w:ind w:firstLine="0" w:firstLineChars="0"/>
        <w:jc w:val="center"/>
        <w:rPr>
          <w:rFonts w:ascii="黑体" w:hAnsi="黑体" w:eastAsia="黑体" w:cs="黑体"/>
          <w:b/>
          <w:bCs/>
          <w:sz w:val="48"/>
          <w:szCs w:val="48"/>
        </w:rPr>
      </w:pPr>
      <w:r>
        <w:rPr>
          <w:rFonts w:hint="eastAsia" w:ascii="黑体" w:hAnsi="黑体" w:eastAsia="黑体" w:cs="黑体"/>
          <w:b/>
          <w:bCs/>
          <w:sz w:val="48"/>
          <w:szCs w:val="48"/>
        </w:rPr>
        <w:t>绩效评价报告</w:t>
      </w:r>
      <w:bookmarkEnd w:id="0"/>
    </w:p>
    <w:p>
      <w:pPr>
        <w:pStyle w:val="8"/>
        <w:ind w:left="0" w:firstLine="883"/>
        <w:rPr>
          <w:rFonts w:ascii="Microsoft JhengHei"/>
          <w:b/>
          <w:sz w:val="44"/>
        </w:rPr>
      </w:pPr>
    </w:p>
    <w:p>
      <w:pPr>
        <w:pStyle w:val="8"/>
        <w:ind w:left="0" w:firstLine="883"/>
        <w:rPr>
          <w:rFonts w:ascii="Microsoft JhengHei"/>
          <w:b/>
          <w:sz w:val="44"/>
        </w:rPr>
      </w:pPr>
    </w:p>
    <w:p>
      <w:pPr>
        <w:pStyle w:val="8"/>
        <w:ind w:left="0" w:firstLine="883"/>
        <w:rPr>
          <w:rFonts w:ascii="Microsoft JhengHei"/>
          <w:b/>
          <w:sz w:val="44"/>
        </w:rPr>
      </w:pPr>
    </w:p>
    <w:p>
      <w:pPr>
        <w:pStyle w:val="8"/>
        <w:ind w:left="0" w:firstLine="883"/>
        <w:rPr>
          <w:rFonts w:ascii="Microsoft JhengHei"/>
          <w:b/>
          <w:sz w:val="44"/>
        </w:rPr>
      </w:pPr>
    </w:p>
    <w:p>
      <w:pPr>
        <w:pStyle w:val="8"/>
        <w:ind w:left="0" w:firstLine="883"/>
        <w:rPr>
          <w:rFonts w:ascii="Microsoft JhengHei"/>
          <w:b/>
          <w:sz w:val="44"/>
        </w:rPr>
      </w:pPr>
    </w:p>
    <w:p>
      <w:pPr>
        <w:pStyle w:val="8"/>
        <w:topLinePunct w:val="0"/>
        <w:autoSpaceDE w:val="0"/>
        <w:autoSpaceDN w:val="0"/>
        <w:ind w:left="0" w:right="17" w:firstLine="0" w:firstLineChars="0"/>
        <w:jc w:val="center"/>
        <w:rPr>
          <w:rFonts w:hint="eastAsia" w:ascii="黑体" w:hAnsi="黑体" w:eastAsia="黑体"/>
          <w:b/>
          <w:bCs/>
          <w:lang w:eastAsia="zh-CN"/>
        </w:rPr>
      </w:pPr>
      <w:r>
        <w:rPr>
          <w:rFonts w:hint="eastAsia" w:ascii="黑体" w:hAnsi="黑体" w:eastAsia="黑体"/>
          <w:b/>
          <w:bCs/>
          <w:lang w:eastAsia="zh-CN"/>
        </w:rPr>
        <w:t>编制单位：承德市医疗保障局</w:t>
      </w:r>
    </w:p>
    <w:p>
      <w:pPr>
        <w:pStyle w:val="8"/>
        <w:topLinePunct w:val="0"/>
        <w:autoSpaceDE w:val="0"/>
        <w:autoSpaceDN w:val="0"/>
        <w:ind w:left="0" w:right="17" w:firstLine="0" w:firstLineChars="0"/>
        <w:jc w:val="center"/>
        <w:rPr>
          <w:rFonts w:ascii="黑体" w:hAnsi="黑体" w:eastAsia="黑体"/>
          <w:b/>
          <w:bCs/>
        </w:rPr>
      </w:pPr>
      <w:r>
        <w:rPr>
          <w:rFonts w:hint="eastAsia" w:ascii="黑体" w:hAnsi="黑体" w:eastAsia="黑体"/>
          <w:b/>
          <w:bCs/>
          <w:lang w:eastAsia="zh-CN"/>
        </w:rPr>
        <w:t>编制时间：</w:t>
      </w:r>
      <w:r>
        <w:rPr>
          <w:rFonts w:ascii="黑体" w:hAnsi="黑体" w:eastAsia="黑体"/>
          <w:b/>
          <w:bCs/>
        </w:rPr>
        <w:t>二</w:t>
      </w:r>
      <w:r>
        <w:rPr>
          <w:rFonts w:hint="eastAsia" w:ascii="黑体" w:hAnsi="黑体" w:eastAsia="黑体"/>
          <w:b/>
          <w:bCs/>
        </w:rPr>
        <w:t>零二</w:t>
      </w:r>
      <w:r>
        <w:rPr>
          <w:rFonts w:hint="eastAsia" w:ascii="黑体" w:hAnsi="黑体" w:eastAsia="黑体"/>
          <w:b/>
          <w:bCs/>
          <w:lang w:eastAsia="zh-CN"/>
        </w:rPr>
        <w:t>二</w:t>
      </w:r>
      <w:r>
        <w:rPr>
          <w:rFonts w:ascii="黑体" w:hAnsi="黑体" w:eastAsia="黑体"/>
          <w:b/>
          <w:bCs/>
        </w:rPr>
        <w:t>年</w:t>
      </w:r>
      <w:r>
        <w:rPr>
          <w:rFonts w:hint="eastAsia" w:ascii="黑体" w:hAnsi="黑体" w:eastAsia="黑体"/>
          <w:b/>
          <w:bCs/>
          <w:lang w:val="en-US" w:eastAsia="zh-CN"/>
        </w:rPr>
        <w:t>八</w:t>
      </w:r>
      <w:r>
        <w:rPr>
          <w:rFonts w:ascii="黑体" w:hAnsi="黑体" w:eastAsia="黑体"/>
          <w:b/>
          <w:bCs/>
        </w:rPr>
        <w:t>月</w:t>
      </w:r>
    </w:p>
    <w:p>
      <w:pPr>
        <w:ind w:firstLine="640"/>
        <w:jc w:val="center"/>
        <w:rPr>
          <w:sz w:val="32"/>
          <w:szCs w:val="32"/>
        </w:rPr>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1440" w:right="1803" w:bottom="1440" w:left="1803" w:header="851" w:footer="1111" w:gutter="0"/>
          <w:cols w:space="425" w:num="1"/>
        </w:sectPr>
      </w:pPr>
    </w:p>
    <w:p>
      <w:pPr>
        <w:pStyle w:val="13"/>
        <w:spacing w:before="40" w:afterLines="150"/>
        <w:ind w:right="0"/>
        <w:rPr>
          <w:rFonts w:ascii="黑体" w:hAnsi="黑体" w:eastAsia="黑体" w:cs="黑体"/>
          <w:sz w:val="36"/>
          <w:szCs w:val="36"/>
        </w:rPr>
      </w:pPr>
      <w:bookmarkStart w:id="1" w:name="_Toc11658"/>
      <w:r>
        <w:rPr>
          <w:rFonts w:hint="eastAsia" w:ascii="黑体" w:hAnsi="黑体" w:eastAsia="黑体" w:cs="黑体"/>
          <w:sz w:val="36"/>
          <w:szCs w:val="36"/>
        </w:rPr>
        <w:t>目</w:t>
      </w:r>
      <w:r>
        <w:rPr>
          <w:rFonts w:hint="eastAsia" w:ascii="黑体" w:hAnsi="黑体" w:eastAsia="黑体" w:cs="黑体"/>
          <w:sz w:val="36"/>
          <w:szCs w:val="36"/>
        </w:rPr>
        <w:tab/>
      </w:r>
      <w:r>
        <w:rPr>
          <w:rFonts w:hint="eastAsia" w:ascii="黑体" w:hAnsi="黑体" w:eastAsia="黑体" w:cs="黑体"/>
          <w:sz w:val="36"/>
          <w:szCs w:val="36"/>
        </w:rPr>
        <w:t>录</w:t>
      </w:r>
      <w:bookmarkEnd w:id="1"/>
    </w:p>
    <w:sdt>
      <w:sdtPr>
        <w:rPr>
          <w:sz w:val="21"/>
        </w:rPr>
        <w:id w:val="147453185"/>
        <w:docPartObj>
          <w:docPartGallery w:val="Table of Contents"/>
          <w:docPartUnique/>
        </w:docPartObj>
      </w:sdtPr>
      <w:sdtEndPr>
        <w:rPr>
          <w:rFonts w:hint="eastAsia" w:ascii="仿宋" w:hAnsi="仿宋" w:eastAsia="仿宋" w:cs="仿宋"/>
          <w:sz w:val="28"/>
          <w:szCs w:val="28"/>
        </w:rPr>
      </w:sdtEndPr>
      <w:sdtContent>
        <w:p>
          <w:pPr>
            <w:ind w:firstLine="420"/>
            <w:jc w:val="center"/>
          </w:pPr>
        </w:p>
        <w:p>
          <w:pPr>
            <w:pStyle w:val="13"/>
            <w:tabs>
              <w:tab w:val="right" w:leader="dot" w:pos="8294"/>
            </w:tabs>
            <w:rPr>
              <w:rFonts w:asciiTheme="minorHAnsi" w:hAnsiTheme="minorHAnsi" w:eastAsiaTheme="minorEastAsia" w:cstheme="minorBidi"/>
              <w:b w:val="0"/>
              <w:bCs w:val="0"/>
              <w:kern w:val="2"/>
              <w:sz w:val="21"/>
              <w:szCs w:val="22"/>
              <w:lang w:val="en-US" w:bidi="ar-SA"/>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fldChar w:fldCharType="begin"/>
          </w:r>
          <w:r>
            <w:instrText xml:space="preserve"> HYPERLINK \l "_Toc45292256" </w:instrText>
          </w:r>
          <w:r>
            <w:fldChar w:fldCharType="separate"/>
          </w:r>
          <w:r>
            <w:rPr>
              <w:rStyle w:val="23"/>
              <w:rFonts w:ascii="黑体" w:hAnsi="黑体" w:eastAsia="黑体" w:cs="黑体"/>
            </w:rPr>
            <w:t>一、项目基本情况</w:t>
          </w:r>
          <w:r>
            <w:tab/>
          </w:r>
          <w:r>
            <w:fldChar w:fldCharType="begin"/>
          </w:r>
          <w:r>
            <w:instrText xml:space="preserve"> PAGEREF _Toc45292256 \h </w:instrText>
          </w:r>
          <w:r>
            <w:fldChar w:fldCharType="separate"/>
          </w:r>
          <w:r>
            <w:t>1</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"_Toc45292257" </w:instrText>
          </w:r>
          <w:r>
            <w:fldChar w:fldCharType="separate"/>
          </w:r>
          <w:r>
            <w:rPr>
              <w:rStyle w:val="23"/>
              <w:rFonts w:ascii="黑体" w:hAnsi="黑体" w:eastAsia="黑体" w:cs="黑体"/>
            </w:rPr>
            <w:t>（一）项目概况</w:t>
          </w:r>
          <w:r>
            <w:tab/>
          </w:r>
          <w:r>
            <w:fldChar w:fldCharType="begin"/>
          </w:r>
          <w:r>
            <w:instrText xml:space="preserve"> PAGEREF _Toc45292257 \h </w:instrText>
          </w:r>
          <w:r>
            <w:fldChar w:fldCharType="separate"/>
          </w:r>
          <w:r>
            <w:t>1</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"_Toc45292258" </w:instrText>
          </w:r>
          <w:r>
            <w:fldChar w:fldCharType="separate"/>
          </w:r>
          <w:r>
            <w:rPr>
              <w:rStyle w:val="23"/>
              <w:rFonts w:ascii="黑体" w:hAnsi="黑体" w:eastAsia="黑体" w:cs="黑体"/>
            </w:rPr>
            <w:t>（二）项目实施</w:t>
          </w:r>
          <w:r>
            <w:tab/>
          </w:r>
          <w:r>
            <w:fldChar w:fldCharType="begin"/>
          </w:r>
          <w:r>
            <w:instrText xml:space="preserve"> PAGEREF _Toc45292258 \h </w:instrText>
          </w:r>
          <w:r>
            <w:fldChar w:fldCharType="separate"/>
          </w:r>
          <w:r>
            <w:t>1</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"_Toc45292259" </w:instrText>
          </w:r>
          <w:r>
            <w:fldChar w:fldCharType="separate"/>
          </w:r>
          <w:r>
            <w:rPr>
              <w:rStyle w:val="23"/>
              <w:rFonts w:ascii="黑体" w:hAnsi="黑体" w:eastAsia="黑体" w:cs="黑体"/>
            </w:rPr>
            <w:t>（三）资金投入和使用情况</w:t>
          </w:r>
          <w:r>
            <w:tab/>
          </w:r>
          <w:r>
            <w:fldChar w:fldCharType="begin"/>
          </w:r>
          <w:r>
            <w:instrText xml:space="preserve"> PAGEREF _Toc45292259 \h </w:instrText>
          </w:r>
          <w:r>
            <w:fldChar w:fldCharType="separate"/>
          </w:r>
          <w:r>
            <w:t>2</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"_Toc45292260" </w:instrText>
          </w:r>
          <w:r>
            <w:fldChar w:fldCharType="separate"/>
          </w:r>
          <w:r>
            <w:rPr>
              <w:rStyle w:val="23"/>
              <w:rFonts w:ascii="黑体" w:hAnsi="黑体" w:eastAsia="黑体" w:cs="黑体"/>
            </w:rPr>
            <w:t>（四）组织及管理</w:t>
          </w:r>
          <w:r>
            <w:tab/>
          </w:r>
          <w:r>
            <w:fldChar w:fldCharType="begin"/>
          </w:r>
          <w:r>
            <w:instrText xml:space="preserve"> PAGEREF _Toc45292260 \h </w:instrText>
          </w:r>
          <w:r>
            <w:fldChar w:fldCharType="separate"/>
          </w:r>
          <w:r>
            <w:t>2</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"_Toc45292261" </w:instrText>
          </w:r>
          <w:r>
            <w:fldChar w:fldCharType="separate"/>
          </w:r>
          <w:r>
            <w:rPr>
              <w:rStyle w:val="23"/>
              <w:rFonts w:ascii="黑体" w:hAnsi="黑体" w:eastAsia="黑体" w:cs="黑体"/>
            </w:rPr>
            <w:t>（五）项目绩效目标</w:t>
          </w:r>
          <w:r>
            <w:tab/>
          </w:r>
          <w:r>
            <w:fldChar w:fldCharType="begin"/>
          </w:r>
          <w:r>
            <w:instrText xml:space="preserve"> PAGEREF _Toc45292261 \h </w:instrText>
          </w:r>
          <w:r>
            <w:fldChar w:fldCharType="separate"/>
          </w:r>
          <w:r>
            <w:t>4</w:t>
          </w:r>
          <w:r>
            <w:fldChar w:fldCharType="end"/>
          </w:r>
          <w:r>
            <w:fldChar w:fldCharType="end"/>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"_Toc45292262" </w:instrText>
          </w:r>
          <w:r>
            <w:fldChar w:fldCharType="separate"/>
          </w:r>
          <w:r>
            <w:rPr>
              <w:rStyle w:val="23"/>
              <w:rFonts w:ascii="黑体" w:hAnsi="黑体" w:eastAsia="黑体" w:cs="黑体"/>
            </w:rPr>
            <w:t>二、绩效评价工作开展情况</w:t>
          </w:r>
          <w:r>
            <w:tab/>
          </w:r>
          <w:r>
            <w:fldChar w:fldCharType="begin"/>
          </w:r>
          <w:r>
            <w:instrText xml:space="preserve"> PAGEREF _Toc45292262 \h </w:instrText>
          </w:r>
          <w:r>
            <w:fldChar w:fldCharType="separate"/>
          </w:r>
          <w:r>
            <w:t>5</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"_Toc45292263" </w:instrText>
          </w:r>
          <w:r>
            <w:fldChar w:fldCharType="separate"/>
          </w:r>
          <w:r>
            <w:rPr>
              <w:rStyle w:val="23"/>
              <w:rFonts w:ascii="黑体" w:hAnsi="黑体" w:eastAsia="黑体" w:cs="黑体"/>
            </w:rPr>
            <w:t>（一）评价目的、对象和范围</w:t>
          </w:r>
          <w:r>
            <w:tab/>
          </w:r>
          <w:r>
            <w:fldChar w:fldCharType="begin"/>
          </w:r>
          <w:r>
            <w:instrText xml:space="preserve"> PAGEREF _Toc45292263 \h </w:instrText>
          </w:r>
          <w:r>
            <w:fldChar w:fldCharType="separate"/>
          </w:r>
          <w:r>
            <w:t>6</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"_Toc45292264" </w:instrText>
          </w:r>
          <w:r>
            <w:fldChar w:fldCharType="separate"/>
          </w:r>
          <w:r>
            <w:rPr>
              <w:rStyle w:val="23"/>
              <w:rFonts w:ascii="黑体" w:hAnsi="黑体" w:eastAsia="黑体" w:cs="黑体"/>
            </w:rPr>
            <w:t>（二）评价原则、依据及方法</w:t>
          </w:r>
          <w:r>
            <w:tab/>
          </w:r>
          <w:r>
            <w:fldChar w:fldCharType="begin"/>
          </w:r>
          <w:r>
            <w:instrText xml:space="preserve"> PAGEREF _Toc45292264 \h </w:instrText>
          </w:r>
          <w:r>
            <w:fldChar w:fldCharType="separate"/>
          </w:r>
          <w:r>
            <w:t>6</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"_Toc45292265" </w:instrText>
          </w:r>
          <w:r>
            <w:fldChar w:fldCharType="separate"/>
          </w:r>
          <w:r>
            <w:rPr>
              <w:rStyle w:val="23"/>
              <w:rFonts w:ascii="黑体" w:hAnsi="黑体" w:eastAsia="黑体" w:cs="黑体"/>
            </w:rPr>
            <w:t>（三）评价指标体系及评价标准说明</w:t>
          </w:r>
          <w:r>
            <w:tab/>
          </w:r>
          <w:r>
            <w:fldChar w:fldCharType="begin"/>
          </w:r>
          <w:r>
            <w:instrText xml:space="preserve"> PAGEREF _Toc45292265 \h </w:instrText>
          </w:r>
          <w:r>
            <w:fldChar w:fldCharType="separate"/>
          </w:r>
          <w:r>
            <w:t>8</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"_Toc45292266" </w:instrText>
          </w:r>
          <w:r>
            <w:fldChar w:fldCharType="separate"/>
          </w:r>
          <w:r>
            <w:rPr>
              <w:rStyle w:val="23"/>
              <w:rFonts w:ascii="黑体" w:hAnsi="黑体" w:eastAsia="黑体" w:cs="黑体"/>
            </w:rPr>
            <w:t>（四）评价工作过程</w:t>
          </w:r>
          <w:r>
            <w:tab/>
          </w:r>
          <w:r>
            <w:fldChar w:fldCharType="begin"/>
          </w:r>
          <w:r>
            <w:instrText xml:space="preserve"> PAGEREF _Toc45292266 \h </w:instrText>
          </w:r>
          <w:r>
            <w:fldChar w:fldCharType="separate"/>
          </w:r>
          <w:r>
            <w:t>9</w:t>
          </w:r>
          <w:r>
            <w:fldChar w:fldCharType="end"/>
          </w:r>
          <w:r>
            <w:fldChar w:fldCharType="end"/>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"_Toc45292267" </w:instrText>
          </w:r>
          <w:r>
            <w:fldChar w:fldCharType="separate"/>
          </w:r>
          <w:r>
            <w:rPr>
              <w:rStyle w:val="23"/>
              <w:rFonts w:ascii="黑体" w:hAnsi="黑体" w:eastAsia="黑体" w:cs="黑体"/>
            </w:rPr>
            <w:t>三、综合评价情况及评价结论</w:t>
          </w:r>
          <w:r>
            <w:tab/>
          </w:r>
          <w:r>
            <w:fldChar w:fldCharType="begin"/>
          </w:r>
          <w:r>
            <w:instrText xml:space="preserve"> PAGEREF _Toc45292267 \h </w:instrText>
          </w:r>
          <w:r>
            <w:fldChar w:fldCharType="separate"/>
          </w:r>
          <w:r>
            <w:t>10</w:t>
          </w:r>
          <w:r>
            <w:fldChar w:fldCharType="end"/>
          </w:r>
          <w:r>
            <w:fldChar w:fldCharType="end"/>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"_Toc45292268" </w:instrText>
          </w:r>
          <w:r>
            <w:fldChar w:fldCharType="separate"/>
          </w:r>
          <w:r>
            <w:rPr>
              <w:rStyle w:val="23"/>
              <w:rFonts w:ascii="黑体" w:hAnsi="黑体" w:eastAsia="黑体" w:cs="黑体"/>
            </w:rPr>
            <w:t>四、绩效评价指标分析</w:t>
          </w:r>
          <w:r>
            <w:tab/>
          </w:r>
          <w:r>
            <w:fldChar w:fldCharType="begin"/>
          </w:r>
          <w:r>
            <w:instrText xml:space="preserve"> PAGEREF _Toc45292268 \h </w:instrText>
          </w:r>
          <w:r>
            <w:fldChar w:fldCharType="separate"/>
          </w:r>
          <w:r>
            <w:t>11</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"_Toc45292269" </w:instrText>
          </w:r>
          <w:r>
            <w:fldChar w:fldCharType="separate"/>
          </w:r>
          <w:r>
            <w:rPr>
              <w:rStyle w:val="23"/>
              <w:rFonts w:ascii="黑体" w:hAnsi="黑体" w:eastAsia="黑体" w:cs="黑体"/>
            </w:rPr>
            <w:t>（一）项目决策情况</w:t>
          </w:r>
          <w:r>
            <w:tab/>
          </w:r>
          <w:r>
            <w:fldChar w:fldCharType="begin"/>
          </w:r>
          <w:r>
            <w:instrText xml:space="preserve"> PAGEREF _Toc45292269 \h </w:instrText>
          </w:r>
          <w:r>
            <w:fldChar w:fldCharType="separate"/>
          </w:r>
          <w:r>
            <w:t>11</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"_Toc45292270" </w:instrText>
          </w:r>
          <w:r>
            <w:fldChar w:fldCharType="separate"/>
          </w:r>
          <w:r>
            <w:rPr>
              <w:rStyle w:val="23"/>
              <w:rFonts w:ascii="黑体" w:hAnsi="黑体" w:eastAsia="黑体" w:cs="黑体"/>
            </w:rPr>
            <w:t>（二）项目过程情况</w:t>
          </w:r>
          <w:r>
            <w:tab/>
          </w:r>
          <w:r>
            <w:fldChar w:fldCharType="begin"/>
          </w:r>
          <w:r>
            <w:instrText xml:space="preserve"> PAGEREF _Toc45292270 \h </w:instrText>
          </w:r>
          <w:r>
            <w:fldChar w:fldCharType="separate"/>
          </w:r>
          <w:r>
            <w:t>13</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"_Toc45292271" </w:instrText>
          </w:r>
          <w:r>
            <w:fldChar w:fldCharType="separate"/>
          </w:r>
          <w:r>
            <w:rPr>
              <w:rStyle w:val="23"/>
              <w:rFonts w:ascii="黑体" w:hAnsi="黑体" w:eastAsia="黑体" w:cs="黑体"/>
            </w:rPr>
            <w:t>（三）项目产出情况</w:t>
          </w:r>
          <w:r>
            <w:tab/>
          </w:r>
          <w:r>
            <w:fldChar w:fldCharType="begin"/>
          </w:r>
          <w:r>
            <w:instrText xml:space="preserve"> PAGEREF _Toc45292271 \h </w:instrText>
          </w:r>
          <w:r>
            <w:fldChar w:fldCharType="separate"/>
          </w:r>
          <w:r>
            <w:t>15</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"_Toc45292272" </w:instrText>
          </w:r>
          <w:r>
            <w:fldChar w:fldCharType="separate"/>
          </w:r>
          <w:r>
            <w:rPr>
              <w:rStyle w:val="23"/>
              <w:rFonts w:ascii="黑体" w:hAnsi="黑体" w:eastAsia="黑体" w:cs="黑体"/>
            </w:rPr>
            <w:t>（四）项目效益情况</w:t>
          </w:r>
          <w:r>
            <w:tab/>
          </w:r>
          <w:r>
            <w:fldChar w:fldCharType="begin"/>
          </w:r>
          <w:r>
            <w:instrText xml:space="preserve"> PAGEREF _Toc45292272 \h </w:instrText>
          </w:r>
          <w:r>
            <w:fldChar w:fldCharType="separate"/>
          </w:r>
          <w:r>
            <w:t>17</w:t>
          </w:r>
          <w:r>
            <w:fldChar w:fldCharType="end"/>
          </w:r>
          <w:r>
            <w:fldChar w:fldCharType="end"/>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"_Toc45292273" </w:instrText>
          </w:r>
          <w:r>
            <w:fldChar w:fldCharType="separate"/>
          </w:r>
          <w:r>
            <w:rPr>
              <w:rStyle w:val="23"/>
              <w:rFonts w:ascii="黑体" w:hAnsi="黑体" w:eastAsia="黑体" w:cs="黑体"/>
            </w:rPr>
            <w:t>五、主要经验及做法、存在的问题及原因分析</w:t>
          </w:r>
          <w:r>
            <w:tab/>
          </w:r>
          <w:r>
            <w:fldChar w:fldCharType="begin"/>
          </w:r>
          <w:r>
            <w:instrText xml:space="preserve"> PAGEREF _Toc45292273 \h </w:instrText>
          </w:r>
          <w:r>
            <w:fldChar w:fldCharType="separate"/>
          </w:r>
          <w:r>
            <w:t>17</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"_Toc45292274" </w:instrText>
          </w:r>
          <w:r>
            <w:fldChar w:fldCharType="separate"/>
          </w:r>
          <w:r>
            <w:rPr>
              <w:rStyle w:val="23"/>
              <w:rFonts w:ascii="黑体" w:hAnsi="黑体" w:eastAsia="黑体" w:cs="黑体"/>
            </w:rPr>
            <w:t>（一）经验及做法</w:t>
          </w:r>
          <w:r>
            <w:tab/>
          </w:r>
          <w:r>
            <w:fldChar w:fldCharType="begin"/>
          </w:r>
          <w:r>
            <w:instrText xml:space="preserve"> PAGEREF _Toc45292274 \h </w:instrText>
          </w:r>
          <w:r>
            <w:fldChar w:fldCharType="separate"/>
          </w:r>
          <w:r>
            <w:t>19</w:t>
          </w:r>
          <w:r>
            <w:fldChar w:fldCharType="end"/>
          </w:r>
          <w:r>
            <w:fldChar w:fldCharType="end"/>
          </w:r>
        </w:p>
        <w:p>
          <w:pPr>
            <w:pStyle w:val="2"/>
            <w:tabs>
              <w:tab w:val="right" w:leader="dot" w:pos="8294"/>
            </w:tabs>
            <w:topLinePunct w:val="0"/>
            <w:autoSpaceDE w:val="0"/>
            <w:autoSpaceDN w:val="0"/>
            <w:ind w:left="578" w:firstLine="0" w:firstLineChars="0"/>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"_Toc45292275" </w:instrText>
          </w:r>
          <w:r>
            <w:fldChar w:fldCharType="separate"/>
          </w:r>
          <w:r>
            <w:rPr>
              <w:rStyle w:val="23"/>
              <w:rFonts w:ascii="黑体" w:hAnsi="黑体" w:eastAsia="黑体" w:cs="黑体"/>
            </w:rPr>
            <w:t>（二）存在问题及原因</w:t>
          </w:r>
          <w:r>
            <w:tab/>
          </w:r>
          <w:r>
            <w:fldChar w:fldCharType="begin"/>
          </w:r>
          <w:r>
            <w:instrText xml:space="preserve"> PAGEREF _Toc45292275 \h </w:instrText>
          </w:r>
          <w:r>
            <w:fldChar w:fldCharType="separate"/>
          </w:r>
          <w:r>
            <w:t>19</w:t>
          </w:r>
          <w:r>
            <w:fldChar w:fldCharType="end"/>
          </w:r>
          <w:r>
            <w:fldChar w:fldCharType="end"/>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"_Toc45292276" </w:instrText>
          </w:r>
          <w:r>
            <w:fldChar w:fldCharType="separate"/>
          </w:r>
          <w:r>
            <w:rPr>
              <w:rStyle w:val="23"/>
              <w:rFonts w:ascii="黑体" w:hAnsi="黑体" w:eastAsia="黑体" w:cs="黑体"/>
            </w:rPr>
            <w:t>六、有关建议</w:t>
          </w:r>
          <w:r>
            <w:tab/>
          </w:r>
          <w:r>
            <w:fldChar w:fldCharType="begin"/>
          </w:r>
          <w:r>
            <w:instrText xml:space="preserve"> PAGEREF _Toc45292276 \h </w:instrText>
          </w:r>
          <w:r>
            <w:fldChar w:fldCharType="separate"/>
          </w:r>
          <w:r>
            <w:t>20</w:t>
          </w:r>
          <w:r>
            <w:fldChar w:fldCharType="end"/>
          </w:r>
          <w:r>
            <w:fldChar w:fldCharType="end"/>
          </w:r>
        </w:p>
        <w:p>
          <w:pPr>
            <w:pStyle w:val="13"/>
            <w:tabs>
              <w:tab w:val="right" w:leader="dot" w:pos="8294"/>
            </w:tabs>
            <w:rPr>
              <w:rFonts w:asciiTheme="minorHAnsi" w:hAnsiTheme="minorHAnsi" w:eastAsiaTheme="minorEastAsia" w:cstheme="minorBidi"/>
              <w:b w:val="0"/>
              <w:bCs w:val="0"/>
              <w:kern w:val="2"/>
              <w:sz w:val="21"/>
              <w:szCs w:val="22"/>
              <w:lang w:val="en-US" w:bidi="ar-SA"/>
            </w:rPr>
          </w:pPr>
          <w:r>
            <w:fldChar w:fldCharType="begin"/>
          </w:r>
          <w:r>
            <w:instrText xml:space="preserve"> HYPERLINK \l "_Toc45292277" </w:instrText>
          </w:r>
          <w:r>
            <w:fldChar w:fldCharType="separate"/>
          </w:r>
          <w:r>
            <w:rPr>
              <w:rStyle w:val="23"/>
              <w:rFonts w:ascii="黑体" w:hAnsi="黑体" w:eastAsia="黑体" w:cs="黑体"/>
            </w:rPr>
            <w:t>七、附件</w:t>
          </w:r>
          <w:r>
            <w:tab/>
          </w:r>
          <w:r>
            <w:fldChar w:fldCharType="begin"/>
          </w:r>
          <w:r>
            <w:instrText xml:space="preserve"> PAGEREF _Toc45292277 \h </w:instrText>
          </w:r>
          <w:r>
            <w:fldChar w:fldCharType="separate"/>
          </w:r>
          <w:r>
            <w:t>20</w:t>
          </w:r>
          <w:r>
            <w:fldChar w:fldCharType="end"/>
          </w:r>
          <w:r>
            <w:fldChar w:fldCharType="end"/>
          </w:r>
        </w:p>
        <w:p>
          <w:pPr>
            <w:ind w:firstLine="560"/>
            <w:rPr>
              <w:rFonts w:ascii="仿宋" w:hAnsi="仿宋" w:eastAsia="仿宋" w:cs="仿宋"/>
              <w:szCs w:val="28"/>
            </w:rPr>
          </w:pPr>
          <w:r>
            <w:rPr>
              <w:rFonts w:hint="eastAsia" w:ascii="仿宋" w:hAnsi="仿宋" w:eastAsia="仿宋" w:cs="仿宋"/>
              <w:szCs w:val="28"/>
            </w:rPr>
            <w:fldChar w:fldCharType="end"/>
          </w:r>
        </w:p>
        <w:p>
          <w:pPr>
            <w:ind w:firstLine="560"/>
            <w:rPr>
              <w:rFonts w:ascii="仿宋" w:hAnsi="仿宋" w:eastAsia="仿宋" w:cs="仿宋"/>
              <w:szCs w:val="28"/>
            </w:rPr>
            <w:sectPr>
              <w:footerReference r:id="rId11" w:type="default"/>
              <w:pgSz w:w="11910" w:h="16840"/>
              <w:pgMar w:top="1440" w:right="1803" w:bottom="1440" w:left="1803" w:header="851" w:footer="1111" w:gutter="0"/>
              <w:pgNumType w:fmt="upperRoman" w:start="1"/>
              <w:cols w:space="425" w:num="1"/>
            </w:sectPr>
          </w:pPr>
        </w:p>
      </w:sdtContent>
    </w:sdt>
    <w:p>
      <w:pPr>
        <w:topLinePunct w:val="0"/>
        <w:autoSpaceDE w:val="0"/>
        <w:autoSpaceDN w:val="0"/>
        <w:ind w:firstLine="0" w:firstLineChars="0"/>
        <w:jc w:val="center"/>
        <w:rPr>
          <w:rFonts w:ascii="黑体" w:hAnsi="黑体" w:eastAsia="黑体" w:cs="黑体"/>
          <w:b/>
          <w:bCs/>
          <w:spacing w:val="-6"/>
          <w:sz w:val="36"/>
          <w:szCs w:val="36"/>
        </w:rPr>
      </w:pPr>
      <w:r>
        <w:rPr>
          <w:rFonts w:hint="eastAsia" w:ascii="黑体" w:hAnsi="黑体" w:eastAsia="黑体" w:cs="黑体"/>
          <w:b/>
          <w:bCs/>
          <w:spacing w:val="-6"/>
          <w:sz w:val="36"/>
          <w:szCs w:val="36"/>
          <w:lang w:eastAsia="zh-CN"/>
        </w:rPr>
        <w:t>医保经办大厅运行项目经费</w:t>
      </w:r>
      <w:r>
        <w:rPr>
          <w:rFonts w:hint="eastAsia" w:ascii="黑体" w:hAnsi="黑体" w:eastAsia="黑体" w:cs="黑体"/>
          <w:b/>
          <w:bCs/>
          <w:spacing w:val="-6"/>
          <w:sz w:val="36"/>
          <w:szCs w:val="36"/>
        </w:rPr>
        <w:t>绩效评价报告</w:t>
      </w:r>
    </w:p>
    <w:p>
      <w:pPr>
        <w:ind w:firstLine="560"/>
      </w:pPr>
      <w:r>
        <w:rPr>
          <w:rFonts w:hint="eastAsia"/>
          <w:lang w:eastAsia="zh-CN"/>
        </w:rPr>
        <w:t>为</w:t>
      </w:r>
      <w:r>
        <w:rPr>
          <w:rFonts w:hint="eastAsia"/>
        </w:rPr>
        <w:t>进一步规范和加强财政资金使用管理，提高资金使用效益</w:t>
      </w:r>
      <w:r>
        <w:t>，强化支出责任和效率意识，</w:t>
      </w:r>
      <w:r>
        <w:rPr>
          <w:rFonts w:hint="eastAsia"/>
          <w:lang w:eastAsia="zh-CN"/>
        </w:rPr>
        <w:t>于</w:t>
      </w:r>
      <w:r>
        <w:rPr>
          <w:rFonts w:hint="eastAsia"/>
          <w:lang w:val="en-US" w:eastAsia="zh-CN"/>
        </w:rPr>
        <w:t>2022年5月至8月，完成了“医保经办大厅运行项目经费”项目的绩效评价工作。</w:t>
      </w:r>
      <w:r>
        <w:t>现将评价情况报告如下：</w:t>
      </w:r>
    </w:p>
    <w:p>
      <w:pPr>
        <w:pStyle w:val="3"/>
        <w:spacing w:before="120"/>
        <w:ind w:firstLine="643"/>
      </w:pPr>
      <w:bookmarkStart w:id="2" w:name="_Toc45292256"/>
      <w:bookmarkStart w:id="3" w:name="_Toc4869"/>
      <w:r>
        <w:rPr>
          <w:rFonts w:hint="eastAsia"/>
        </w:rPr>
        <w:t>一、项目基本情况</w:t>
      </w:r>
      <w:bookmarkEnd w:id="2"/>
      <w:bookmarkEnd w:id="3"/>
    </w:p>
    <w:p>
      <w:pPr>
        <w:pStyle w:val="4"/>
        <w:spacing w:before="120"/>
        <w:ind w:firstLine="562"/>
      </w:pPr>
      <w:bookmarkStart w:id="4" w:name="_Toc11320"/>
      <w:bookmarkStart w:id="5" w:name="_Toc45292257"/>
      <w:r>
        <w:rPr>
          <w:rFonts w:hint="eastAsia"/>
        </w:rPr>
        <w:t>（一）项目</w:t>
      </w:r>
      <w:bookmarkEnd w:id="4"/>
      <w:r>
        <w:rPr>
          <w:rFonts w:hint="eastAsia"/>
        </w:rPr>
        <w:t>概况</w:t>
      </w:r>
      <w:bookmarkEnd w:id="5"/>
    </w:p>
    <w:p>
      <w:pPr>
        <w:pStyle w:val="5"/>
        <w:spacing w:before="120"/>
        <w:ind w:firstLine="562"/>
      </w:pPr>
      <w:bookmarkStart w:id="6" w:name="_Toc21333"/>
      <w:r>
        <w:rPr>
          <w:rFonts w:hint="eastAsia"/>
        </w:rPr>
        <w:t>1.项目背景</w:t>
      </w:r>
      <w:bookmarkEnd w:id="6"/>
      <w:r>
        <w:rPr>
          <w:rFonts w:hint="eastAsia"/>
        </w:rPr>
        <w:t>及目的</w:t>
      </w:r>
    </w:p>
    <w:p>
      <w:pPr>
        <w:ind w:firstLine="560"/>
        <w:rPr>
          <w:rFonts w:hint="default"/>
          <w:highlight w:val="none"/>
          <w:lang w:val="en-US" w:eastAsia="zh-CN"/>
        </w:rPr>
      </w:pPr>
      <w:r>
        <w:rPr>
          <w:rFonts w:hint="eastAsia"/>
          <w:highlight w:val="none"/>
          <w:lang w:val="en-US" w:eastAsia="zh-CN"/>
        </w:rPr>
        <w:t>承德市</w:t>
      </w:r>
      <w:r>
        <w:rPr>
          <w:rFonts w:hint="eastAsia"/>
          <w:highlight w:val="none"/>
          <w:lang w:eastAsia="zh-CN"/>
        </w:rPr>
        <w:t>医保经办大厅于</w:t>
      </w:r>
      <w:r>
        <w:rPr>
          <w:rFonts w:hint="eastAsia"/>
          <w:highlight w:val="none"/>
          <w:lang w:val="en-US" w:eastAsia="zh-CN"/>
        </w:rPr>
        <w:t>2020年10月底竣工，11月16日正式投入使用。新组建的医疗保险经办大厅，将市医疗保障局的城镇职工和城乡居民基本医疗保险、生育保险职责整合，有效解决了原来经办市区分属、多地办公，百姓办事不便、多处跑路的问题，切实践行市委市政府“一门、一次”的政务服务目标。为保障医保经办大厅正常履行职责，为参保人提供更加便捷可及的医疗保障公共服务，需要运行经费支持办公、印刷、水电及物业管理等支出。</w:t>
      </w:r>
    </w:p>
    <w:p>
      <w:pPr>
        <w:ind w:firstLine="560"/>
        <w:rPr>
          <w:rFonts w:hint="default"/>
          <w:lang w:val="en-US" w:eastAsia="zh-CN"/>
        </w:rPr>
      </w:pPr>
      <w:r>
        <w:rPr>
          <w:rFonts w:hint="eastAsia"/>
          <w:lang w:val="en-US" w:eastAsia="zh-CN"/>
        </w:rPr>
        <w:t>项目实施对于实现城乡居民基本医疗保险市级统筹，确保城乡居民基本医疗保障体系高效运行提供了保障，促进“互联网+医保”应用，努力为参保人提供更加便捷可及的医疗保障公共服务。真正实现医疗保障“为民、便民、利民、惠民”。</w:t>
      </w:r>
    </w:p>
    <w:p>
      <w:pPr>
        <w:pStyle w:val="5"/>
        <w:spacing w:before="120"/>
        <w:ind w:firstLine="562"/>
        <w:rPr>
          <w:lang w:val="en-US"/>
        </w:rPr>
      </w:pPr>
      <w:r>
        <w:rPr>
          <w:rFonts w:hint="eastAsia"/>
          <w:lang w:val="en-US"/>
        </w:rPr>
        <w:t>2.立项依据</w:t>
      </w:r>
    </w:p>
    <w:p>
      <w:pPr>
        <w:ind w:firstLine="560"/>
      </w:pPr>
      <w:r>
        <w:rPr>
          <w:rFonts w:hint="eastAsia"/>
        </w:rPr>
        <w:t>（</w:t>
      </w:r>
      <w:r>
        <w:rPr>
          <w:rFonts w:hint="eastAsia"/>
          <w:lang w:val="en-US"/>
        </w:rPr>
        <w:t>1</w:t>
      </w:r>
      <w:r>
        <w:rPr>
          <w:rFonts w:hint="eastAsia"/>
        </w:rPr>
        <w:t>）《</w:t>
      </w:r>
      <w:r>
        <w:rPr>
          <w:rFonts w:hint="eastAsia"/>
          <w:lang w:eastAsia="zh-CN"/>
        </w:rPr>
        <w:t>承德市机关事务管理局关</w:t>
      </w:r>
      <w:r>
        <w:rPr>
          <w:rFonts w:hint="eastAsia"/>
          <w:lang w:val="en-US" w:eastAsia="zh-CN"/>
        </w:rPr>
        <w:t>于调整市医疗保险建设经办大厅所需业务用房面积的请示</w:t>
      </w:r>
      <w:r>
        <w:rPr>
          <w:rFonts w:hint="eastAsia"/>
        </w:rPr>
        <w:t>》（</w:t>
      </w:r>
      <w:r>
        <w:rPr>
          <w:rFonts w:hint="eastAsia"/>
          <w:lang w:eastAsia="zh-CN"/>
        </w:rPr>
        <w:t>承事管</w:t>
      </w:r>
      <w:r>
        <w:rPr>
          <w:rFonts w:hint="eastAsia"/>
        </w:rPr>
        <w:t>〔20</w:t>
      </w:r>
      <w:r>
        <w:rPr>
          <w:rFonts w:hint="eastAsia"/>
          <w:lang w:val="en-US" w:eastAsia="zh-CN"/>
        </w:rPr>
        <w:t>19</w:t>
      </w:r>
      <w:r>
        <w:rPr>
          <w:rFonts w:hint="eastAsia"/>
        </w:rPr>
        <w:t>〕</w:t>
      </w:r>
      <w:r>
        <w:rPr>
          <w:rFonts w:hint="eastAsia"/>
          <w:lang w:val="en-US" w:eastAsia="zh-CN"/>
        </w:rPr>
        <w:t>149</w:t>
      </w:r>
      <w:r>
        <w:rPr>
          <w:rFonts w:hint="eastAsia"/>
        </w:rPr>
        <w:t>号）；</w:t>
      </w:r>
    </w:p>
    <w:p>
      <w:pPr>
        <w:ind w:firstLine="560"/>
        <w:rPr>
          <w:rFonts w:hint="default" w:eastAsia="仿宋_GB2312"/>
          <w:lang w:val="en-US" w:eastAsia="zh-CN"/>
        </w:rPr>
      </w:pPr>
      <w:r>
        <w:rPr>
          <w:rFonts w:hint="eastAsia"/>
        </w:rPr>
        <w:t>（</w:t>
      </w:r>
      <w:r>
        <w:rPr>
          <w:rFonts w:hint="eastAsia"/>
          <w:lang w:val="en-US"/>
        </w:rPr>
        <w:t>2</w:t>
      </w:r>
      <w:r>
        <w:rPr>
          <w:rFonts w:hint="eastAsia"/>
        </w:rPr>
        <w:t>）</w:t>
      </w:r>
      <w:r>
        <w:rPr>
          <w:rFonts w:hint="eastAsia"/>
          <w:lang w:eastAsia="zh-CN"/>
        </w:rPr>
        <w:t>《</w:t>
      </w:r>
      <w:r>
        <w:rPr>
          <w:rFonts w:hint="eastAsia"/>
          <w:lang w:val="en-US" w:eastAsia="zh-CN"/>
        </w:rPr>
        <w:t>承德市医疗保障局2021年预算经费安排表》</w:t>
      </w:r>
    </w:p>
    <w:p>
      <w:pPr>
        <w:pStyle w:val="4"/>
        <w:bidi w:val="0"/>
        <w:rPr>
          <w:rFonts w:hint="eastAsia"/>
          <w:lang w:val="en-US"/>
        </w:rPr>
      </w:pPr>
      <w:bookmarkStart w:id="7" w:name="_Toc45292258"/>
      <w:bookmarkStart w:id="8" w:name="_Toc15245"/>
      <w:r>
        <w:rPr>
          <w:rFonts w:hint="eastAsia"/>
        </w:rPr>
        <w:t>（二）</w:t>
      </w:r>
      <w:bookmarkEnd w:id="7"/>
      <w:bookmarkEnd w:id="8"/>
      <w:r>
        <w:rPr>
          <w:rFonts w:hint="eastAsia"/>
          <w:lang w:val="en-US"/>
        </w:rPr>
        <w:t>主要内容与实施情况</w:t>
      </w:r>
    </w:p>
    <w:p>
      <w:pPr>
        <w:rPr>
          <w:rFonts w:hint="eastAsia"/>
        </w:rPr>
      </w:pPr>
      <w:r>
        <w:rPr>
          <w:rFonts w:hint="eastAsia"/>
        </w:rPr>
        <w:t>2021年医保经办大厅是医疗保障局经常性项目，运行经费由财政直接列支，用于医保经办大厅日常运行，主要包含：保安及保洁人员支出和取暖费、电费、水费、物业费、印刷费、提供便民服务费用、经办服务大厅工作人员工装费用等支出，保证医保经办大厅正常运转。</w:t>
      </w:r>
    </w:p>
    <w:p>
      <w:pPr>
        <w:rPr>
          <w:rFonts w:hint="default"/>
          <w:lang w:val="en-US" w:eastAsia="zh-CN"/>
        </w:rPr>
      </w:pPr>
      <w:r>
        <w:rPr>
          <w:rFonts w:hint="eastAsia"/>
          <w:lang w:eastAsia="zh-CN"/>
        </w:rPr>
        <w:t>与承德市众运物业有限公司签订物业服务合同，协议有效期自</w:t>
      </w:r>
      <w:r>
        <w:rPr>
          <w:rFonts w:hint="eastAsia"/>
          <w:lang w:val="en-US" w:eastAsia="zh-CN"/>
        </w:rPr>
        <w:t>2020年12月1日起至办公区装修改造工程完成止，合同金额为13920.00元/月，每三个月支付一次；与承德鲜森商贸有限公司签订服装定制合同，合同金额合计为136000.00元。</w:t>
      </w:r>
    </w:p>
    <w:p>
      <w:pPr>
        <w:pStyle w:val="4"/>
        <w:numPr>
          <w:ilvl w:val="0"/>
          <w:numId w:val="1"/>
        </w:numPr>
        <w:spacing w:before="120"/>
        <w:ind w:firstLine="562"/>
        <w:rPr>
          <w:rFonts w:hint="eastAsia"/>
          <w:lang w:val="en-US"/>
        </w:rPr>
      </w:pPr>
      <w:bookmarkStart w:id="9" w:name="_Toc45292259"/>
      <w:r>
        <w:rPr>
          <w:rFonts w:hint="eastAsia"/>
        </w:rPr>
        <w:t>资金</w:t>
      </w:r>
      <w:r>
        <w:rPr>
          <w:rFonts w:hint="eastAsia"/>
          <w:lang w:val="en-US"/>
        </w:rPr>
        <w:t>投入与</w:t>
      </w:r>
      <w:r>
        <w:rPr>
          <w:rFonts w:hint="eastAsia"/>
        </w:rPr>
        <w:t>使用</w:t>
      </w:r>
      <w:bookmarkEnd w:id="9"/>
      <w:bookmarkStart w:id="10" w:name="_Toc45292260"/>
      <w:r>
        <w:rPr>
          <w:rFonts w:hint="eastAsia"/>
          <w:lang w:val="en-US"/>
        </w:rPr>
        <w:t>情况</w:t>
      </w:r>
    </w:p>
    <w:p>
      <w:pPr>
        <w:ind w:firstLine="560"/>
        <w:rPr>
          <w:rFonts w:hint="eastAsia"/>
          <w:lang w:eastAsia="zh-CN"/>
        </w:rPr>
      </w:pPr>
      <w:r>
        <w:rPr>
          <w:rFonts w:hint="eastAsia"/>
          <w:lang w:val="en-US" w:eastAsia="zh-CN"/>
        </w:rPr>
        <w:t>（1）2021</w:t>
      </w:r>
      <w:r>
        <w:rPr>
          <w:rFonts w:hint="eastAsia"/>
        </w:rPr>
        <w:t>年</w:t>
      </w:r>
      <w:r>
        <w:rPr>
          <w:rFonts w:hint="eastAsia"/>
          <w:lang w:eastAsia="zh-CN"/>
        </w:rPr>
        <w:t>局机关及医保经办服务大厅运行经费</w:t>
      </w:r>
      <w:r>
        <w:rPr>
          <w:rFonts w:hint="eastAsia"/>
        </w:rPr>
        <w:t>预算金额为</w:t>
      </w:r>
      <w:r>
        <w:rPr>
          <w:rFonts w:hint="eastAsia"/>
          <w:lang w:val="en-US" w:eastAsia="zh-CN"/>
        </w:rPr>
        <w:t>40</w:t>
      </w:r>
      <w:r>
        <w:rPr>
          <w:rFonts w:hint="eastAsia"/>
        </w:rPr>
        <w:t>万元，</w:t>
      </w:r>
      <w:r>
        <w:rPr>
          <w:rFonts w:hint="eastAsia"/>
          <w:lang w:val="en-US"/>
        </w:rPr>
        <w:t>由财政直接列支，</w:t>
      </w:r>
      <w:r>
        <w:rPr>
          <w:rFonts w:hint="eastAsia"/>
        </w:rPr>
        <w:t>根据</w:t>
      </w:r>
      <w:r>
        <w:rPr>
          <w:rFonts w:hint="eastAsia"/>
          <w:lang w:eastAsia="zh-CN"/>
        </w:rPr>
        <w:t>年度支出</w:t>
      </w:r>
      <w:r>
        <w:rPr>
          <w:rFonts w:hint="eastAsia"/>
        </w:rPr>
        <w:t>计划，已</w:t>
      </w:r>
      <w:r>
        <w:rPr>
          <w:rFonts w:hint="eastAsia"/>
          <w:lang w:eastAsia="zh-CN"/>
        </w:rPr>
        <w:t>全部</w:t>
      </w:r>
      <w:r>
        <w:rPr>
          <w:rFonts w:hint="eastAsia"/>
        </w:rPr>
        <w:t>支付完成，</w:t>
      </w:r>
      <w:r>
        <w:rPr>
          <w:rFonts w:hint="eastAsia"/>
          <w:lang w:eastAsia="zh-CN"/>
        </w:rPr>
        <w:t>预算执行率</w:t>
      </w:r>
      <w:r>
        <w:rPr>
          <w:rFonts w:hint="eastAsia"/>
        </w:rPr>
        <w:t>为</w:t>
      </w:r>
      <w:r>
        <w:rPr>
          <w:rFonts w:hint="eastAsia"/>
          <w:lang w:val="en-US" w:eastAsia="zh-CN"/>
        </w:rPr>
        <w:t>100</w:t>
      </w:r>
      <w:r>
        <w:rPr>
          <w:rFonts w:hint="eastAsia"/>
        </w:rPr>
        <w:t>%。</w:t>
      </w:r>
      <w:r>
        <w:rPr>
          <w:rFonts w:hint="eastAsia"/>
          <w:lang w:eastAsia="zh-CN"/>
        </w:rPr>
        <w:t>主要用于医保经办服务大厅水、电、暖及维修维护等基本支出，用于保洁保安人员工资等运行费用。其中：大厅服务人员服装费支出</w:t>
      </w:r>
      <w:r>
        <w:rPr>
          <w:rFonts w:hint="eastAsia"/>
          <w:lang w:val="en-US" w:eastAsia="zh-CN"/>
        </w:rPr>
        <w:t>6.8万元；物业费支出13.92万元；取暖费支出8.28831万元；水电费支出9.230964万元；电梯维护保养服务费支出0.6万元；更换净水机滤芯0.17万元；印刷费0.990726万元，</w:t>
      </w:r>
      <w:r>
        <w:rPr>
          <w:rFonts w:hint="eastAsia"/>
          <w:lang w:eastAsia="zh-CN"/>
        </w:rPr>
        <w:t>保障了医保经办服务大厅的正常运转。</w:t>
      </w:r>
    </w:p>
    <w:p>
      <w:pPr>
        <w:numPr>
          <w:ilvl w:val="0"/>
          <w:numId w:val="0"/>
        </w:numPr>
        <w:ind w:firstLine="560" w:firstLineChars="200"/>
        <w:rPr>
          <w:rFonts w:hint="eastAsia"/>
          <w:lang w:val="en-US" w:eastAsia="zh-CN"/>
        </w:rPr>
      </w:pPr>
      <w:r>
        <w:rPr>
          <w:rFonts w:hint="eastAsia"/>
          <w:lang w:val="en-US" w:eastAsia="zh-CN"/>
        </w:rPr>
        <w:t>（2）截止2021年底，财政资金拨付到账40万元，支出金额40万元，支出比例100%。项目支出明细表如表1-1所示。</w:t>
      </w:r>
    </w:p>
    <w:p>
      <w:pPr>
        <w:pStyle w:val="2"/>
        <w:rPr>
          <w:rFonts w:hint="eastAsia"/>
          <w:lang w:val="en-US" w:eastAsia="zh-CN"/>
        </w:rPr>
      </w:pPr>
    </w:p>
    <w:p>
      <w:pPr>
        <w:rPr>
          <w:rFonts w:hint="eastAsia"/>
          <w:lang w:val="en-US" w:eastAsia="zh-CN"/>
        </w:rPr>
      </w:pPr>
    </w:p>
    <w:p>
      <w:pPr>
        <w:pStyle w:val="2"/>
        <w:tabs>
          <w:tab w:val="left" w:pos="2396"/>
        </w:tabs>
        <w:rPr>
          <w:rFonts w:hint="eastAsia"/>
          <w:lang w:val="en-US" w:eastAsia="zh-CN"/>
        </w:rPr>
      </w:pPr>
    </w:p>
    <w:p>
      <w:pPr>
        <w:rPr>
          <w:rFonts w:hint="eastAsia"/>
          <w:lang w:val="en-US" w:eastAsia="zh-CN"/>
        </w:rPr>
      </w:pPr>
    </w:p>
    <w:p>
      <w:pPr>
        <w:ind w:left="0" w:leftChars="0" w:firstLine="240" w:firstLineChars="100"/>
        <w:rPr>
          <w:rFonts w:hint="eastAsia" w:ascii="黑体" w:hAnsi="黑体" w:eastAsia="黑体" w:cs="黑体"/>
          <w:b w:val="0"/>
          <w:bCs w:val="0"/>
          <w:sz w:val="24"/>
          <w:szCs w:val="24"/>
          <w:lang w:val="en-US" w:eastAsia="zh-CN" w:bidi="zh-CN"/>
        </w:rPr>
      </w:pPr>
    </w:p>
    <w:p>
      <w:pPr>
        <w:ind w:left="0" w:leftChars="0" w:firstLine="240" w:firstLineChars="100"/>
        <w:rPr>
          <w:rFonts w:hint="eastAsia"/>
          <w:lang w:val="en-US" w:eastAsia="zh-CN"/>
        </w:rPr>
      </w:pPr>
      <w:r>
        <w:rPr>
          <w:sz w:val="24"/>
        </w:rPr>
        <w:pict>
          <v:shape id="直接箭头连接符 13" o:spid="_x0000_s2050" o:spt="32" type="#_x0000_t32" style="position:absolute;left:0pt;margin-left:142.9pt;margin-top:7.85pt;height:42.5pt;width:0pt;z-index:251661312;mso-width-relative:page;mso-height-relative:page;" filled="f" stroked="f" coordsize="21600,21600" o:gfxdata="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nt1OP1wAAAAoBAAAP&#10;AAAAAAAAAAEAIAAAACIAAABkcnMvZG93bnJldi54bWxQSwECFAAUAAAACACHTuJAylxDgVICAABq&#10;BAAADgAAAAAAAAABACAAAAAmAQAAZHJzL2Uyb0RvYy54bWxQSwUGAAAAAAYABgBZAQAA6gUAAAAA&#10;">
            <v:path arrowok="t"/>
            <v:fill on="f" focussize="0,0"/>
            <v:stroke on="f" weight="3pt" endarrow="open"/>
            <v:imagedata o:title=""/>
            <o:lock v:ext="edit" aspectratio="f"/>
            <v:shadow on="t" color="#000000" opacity="22937f" offset="0pt,1.81102362204724pt" origin="0f,32768f" matrix="65536f,0f,0f,65536f"/>
          </v:shape>
        </w:pict>
      </w:r>
      <w:r>
        <w:rPr>
          <w:rFonts w:hint="eastAsia" w:ascii="黑体" w:hAnsi="黑体" w:eastAsia="黑体" w:cs="黑体"/>
          <w:b w:val="0"/>
          <w:bCs w:val="0"/>
          <w:sz w:val="24"/>
          <w:szCs w:val="24"/>
          <w:lang w:val="en-US" w:eastAsia="zh-CN" w:bidi="zh-CN"/>
        </w:rPr>
        <w:t>表1-1 局机关及医保经办服务大厅运行项目经费支出明细表   单位：元</w:t>
      </w:r>
    </w:p>
    <w:tbl>
      <w:tblPr>
        <w:tblStyle w:val="19"/>
        <w:tblpPr w:leftFromText="180" w:rightFromText="180" w:vertAnchor="text" w:horzAnchor="page" w:tblpX="1663" w:tblpY="2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9"/>
        <w:gridCol w:w="1376"/>
        <w:gridCol w:w="4137"/>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340" w:type="dxa"/>
            <w:gridSpan w:val="2"/>
            <w:vAlign w:val="center"/>
          </w:tcPr>
          <w:p>
            <w:pPr>
              <w:keepNext w:val="0"/>
              <w:keepLines w:val="0"/>
              <w:pageBreakBefore w:val="0"/>
              <w:widowControl w:val="0"/>
              <w:kinsoku/>
              <w:wordWrap/>
              <w:overflowPunct/>
              <w:topLinePunct/>
              <w:autoSpaceDE/>
              <w:autoSpaceDN/>
              <w:bidi w:val="0"/>
              <w:adjustRightInd/>
              <w:snapToGrid/>
              <w:spacing w:line="240" w:lineRule="auto"/>
              <w:ind w:left="0" w:leftChars="0" w:firstLine="0" w:firstLineChars="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autoSpaceDE/>
              <w:autoSpaceDN/>
              <w:bidi w:val="0"/>
              <w:adjustRightInd/>
              <w:snapToGrid/>
              <w:ind w:left="0" w:leftChars="0"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2021年</w:t>
            </w:r>
          </w:p>
          <w:p>
            <w:pPr>
              <w:bidi w:val="0"/>
              <w:ind w:left="0" w:leftChars="0" w:firstLine="0" w:firstLineChars="0"/>
              <w:jc w:val="left"/>
              <w:rPr>
                <w:rFonts w:hint="eastAsia" w:ascii="黑体" w:hAnsi="黑体" w:eastAsia="黑体" w:cs="黑体"/>
                <w:sz w:val="21"/>
                <w:szCs w:val="21"/>
                <w:lang w:val="en-US" w:eastAsia="zh-CN" w:bidi="zh-CN"/>
              </w:rPr>
            </w:pPr>
            <w:r>
              <w:rPr>
                <w:rFonts w:hint="eastAsia" w:ascii="黑体" w:hAnsi="黑体" w:eastAsia="黑体" w:cs="黑体"/>
                <w:sz w:val="21"/>
                <w:szCs w:val="21"/>
              </w:rPr>
              <w:pict>
                <v:line id="直接连接符 5" o:spid="_x0000_s2051" o:spt="20" style="position:absolute;left:0pt;margin-left:-5.25pt;margin-top:2.05pt;height:0pt;width:66.25pt;z-index:251662336;mso-width-relative:page;mso-height-relative:page;" filled="f" stroked="t" coordsize="21600,21600" o:gfxdata="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hVLG1wAAAAgBAAAPAAAAAAAAAAEAIAAAACIAAABkcnMvZG93&#10;bnJldi54bWxQSwECFAAUAAAACACHTuJApYhMfAECAADeAwAADgAAAAAAAAABACAAAAAmAQAAZHJz&#10;L2Uyb0RvYy54bWxQSwUGAAAAAAYABgBZAQAAmQUAAAAA&#10;">
                  <v:path arrowok="t"/>
                  <v:fill on="f" focussize="0,0"/>
                  <v:stroke color="#4A7EBB" joinstyle="round"/>
                  <v:imagedata o:title=""/>
                  <o:lock v:ext="edit" aspectratio="f"/>
                </v:line>
              </w:pict>
            </w:r>
            <w:r>
              <w:rPr>
                <w:sz w:val="21"/>
              </w:rPr>
              <w:pict>
                <v:line id="直接连接符 10" o:spid="_x0000_s2052" o:spt="20" style="position:absolute;left:0pt;flip:x y;margin-left:26pt;margin-top:1.85pt;height:40.6pt;width:0.6pt;z-index:251663360;mso-width-relative:page;mso-height-relative:page;" filled="f" stroked="t" coordsize="21600,21600" o:gfxdata="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Ow8M1gAAAAcBAAAPAAAAAAAAAAEAIAAA&#10;ACIAAABkcnMvZG93bnJldi54bWxQSwECFAAUAAAACACHTuJAwMY+ew4CAAD3AwAADgAAAAAAAAAB&#10;ACAAAAAlAQAAZHJzL2Uyb0RvYy54bWxQSwUGAAAAAAYABgBZAQAApQUAAAAA&#10;">
                  <v:path arrowok="t"/>
                  <v:fill on="f" focussize="0,0"/>
                  <v:stroke color="#4A7EBB" joinstyle="round"/>
                  <v:imagedata o:title=""/>
                  <o:lock v:ext="edit" aspectratio="f"/>
                </v:line>
              </w:pict>
            </w:r>
          </w:p>
          <w:p>
            <w:pPr>
              <w:bidi w:val="0"/>
              <w:ind w:left="840" w:leftChars="0" w:hanging="840" w:hangingChars="400"/>
              <w:jc w:val="left"/>
              <w:rPr>
                <w:rFonts w:hint="eastAsia" w:ascii="黑体" w:hAnsi="黑体" w:eastAsia="黑体" w:cs="黑体"/>
                <w:sz w:val="21"/>
                <w:szCs w:val="21"/>
                <w:lang w:val="en-US" w:eastAsia="zh-CN" w:bidi="zh-CN"/>
              </w:rPr>
            </w:pPr>
            <w:r>
              <w:rPr>
                <w:rFonts w:hint="eastAsia" w:ascii="黑体" w:hAnsi="黑体" w:eastAsia="黑体" w:cs="黑体"/>
                <w:sz w:val="21"/>
                <w:szCs w:val="21"/>
                <w:lang w:val="en-US" w:eastAsia="zh-CN" w:bidi="zh-CN"/>
              </w:rPr>
              <w:t>月     日</w:t>
            </w:r>
          </w:p>
        </w:tc>
        <w:tc>
          <w:tcPr>
            <w:tcW w:w="1376" w:type="dxa"/>
            <w:vAlign w:val="center"/>
          </w:tcPr>
          <w:p>
            <w:pPr>
              <w:ind w:left="0" w:leftChars="0" w:firstLine="420" w:firstLineChars="200"/>
              <w:jc w:val="both"/>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凭证号</w:t>
            </w:r>
          </w:p>
        </w:tc>
        <w:tc>
          <w:tcPr>
            <w:tcW w:w="4137" w:type="dxa"/>
            <w:vAlign w:val="center"/>
          </w:tcPr>
          <w:p>
            <w:pPr>
              <w:ind w:firstLine="1680" w:firstLineChars="800"/>
              <w:jc w:val="both"/>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摘要</w:t>
            </w:r>
          </w:p>
        </w:tc>
        <w:tc>
          <w:tcPr>
            <w:tcW w:w="1667" w:type="dxa"/>
            <w:vAlign w:val="center"/>
          </w:tcPr>
          <w:p>
            <w:pPr>
              <w:jc w:val="both"/>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3</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31</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记账-27</w:t>
            </w:r>
          </w:p>
        </w:tc>
        <w:tc>
          <w:tcPr>
            <w:tcW w:w="4137" w:type="dxa"/>
            <w:vAlign w:val="center"/>
          </w:tcPr>
          <w:p>
            <w:pPr>
              <w:snapToGrid/>
              <w:spacing w:line="240" w:lineRule="auto"/>
              <w:ind w:firstLine="0" w:firstLineChars="0"/>
              <w:jc w:val="center"/>
              <w:outlineLvl w:val="9"/>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转入基本户垫付医保大厅电费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25648.53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3</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31</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记账-28</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转入基本户垫付医保大厅水费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5</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21</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记账-19</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付工装定制费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61200.00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5</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28</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记账-29</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转入基本户垫付4月电费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4711.11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17</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记账-26</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付医保经办大厅电费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3357.98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7</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20</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记账-18</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转入基本户垫付水费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sz w:val="21"/>
                <w:szCs w:val="21"/>
                <w:lang w:val="en-US" w:eastAsia="zh-CN"/>
              </w:rPr>
              <w:t>6</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17</w:t>
            </w:r>
          </w:p>
        </w:tc>
        <w:tc>
          <w:tcPr>
            <w:tcW w:w="1376"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记账-26</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付医保经办大厅7月水费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5525.23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8</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5</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记账-3</w:t>
            </w:r>
          </w:p>
        </w:tc>
        <w:tc>
          <w:tcPr>
            <w:tcW w:w="4137" w:type="dxa"/>
            <w:vAlign w:val="center"/>
          </w:tcPr>
          <w:p>
            <w:pPr>
              <w:spacing w:line="240" w:lineRule="auto"/>
              <w:ind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付工装定制尾款</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8</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17</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记账-19</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付医保经办大厅物业费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83520.00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8</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17</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记账-20</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付医保经办大厅电费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7063.73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9</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w:t>
            </w:r>
          </w:p>
        </w:tc>
        <w:tc>
          <w:tcPr>
            <w:tcW w:w="1376"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付电梯维护保养服务费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sz w:val="21"/>
                <w:szCs w:val="21"/>
                <w:lang w:val="en-US" w:eastAsia="zh-CN"/>
              </w:rPr>
              <w:t>6</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17</w:t>
            </w:r>
          </w:p>
        </w:tc>
        <w:tc>
          <w:tcPr>
            <w:tcW w:w="1376"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记账-26</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付医保经办大厅9月电费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6760.84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10</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8</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记账-3</w:t>
            </w:r>
          </w:p>
        </w:tc>
        <w:tc>
          <w:tcPr>
            <w:tcW w:w="4137" w:type="dxa"/>
            <w:vAlign w:val="center"/>
          </w:tcPr>
          <w:p>
            <w:pPr>
              <w:snapToGrid w:val="0"/>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转入基本户水费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10</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21</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记账-20</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付医保经办大厅10月电费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4660.90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11</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17</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记账-15</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付医保大厅取暖费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82883.10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11</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17</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记账-17</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付医保大厅11月电费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6985.20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11</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25</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记账-38</w:t>
            </w:r>
          </w:p>
        </w:tc>
        <w:tc>
          <w:tcPr>
            <w:tcW w:w="4137" w:type="dxa"/>
            <w:vAlign w:val="center"/>
          </w:tcPr>
          <w:p>
            <w:pPr>
              <w:spacing w:line="240" w:lineRule="auto"/>
              <w:ind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转入基本户垫付5月电费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3793.89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12</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7</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记账-8</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付更换医保经办大厅净水机滤芯费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12</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16</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记账-35</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付医保经办大厅电费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6363.42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12</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28</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记账-96</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付物业费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13920.00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12</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28</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记账-98</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付医保大厅物业费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41760.00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12</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28</w:t>
            </w:r>
          </w:p>
        </w:tc>
        <w:tc>
          <w:tcPr>
            <w:tcW w:w="1376"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记账-99</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付印刷费</w:t>
            </w:r>
          </w:p>
        </w:tc>
        <w:tc>
          <w:tcPr>
            <w:tcW w:w="1667" w:type="dxa"/>
            <w:vAlign w:val="center"/>
          </w:tcPr>
          <w:p>
            <w:pPr>
              <w:spacing w:line="240" w:lineRule="auto"/>
              <w:ind w:firstLine="0" w:firstLineChars="0"/>
              <w:jc w:val="right"/>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707.26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12</w:t>
            </w:r>
          </w:p>
        </w:tc>
        <w:tc>
          <w:tcPr>
            <w:tcW w:w="699"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28</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记账-100</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付印刷费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41" w:type="dxa"/>
            <w:vAlign w:val="center"/>
          </w:tcPr>
          <w:p>
            <w:pPr>
              <w:spacing w:line="240" w:lineRule="auto"/>
              <w:ind w:left="0" w:leftChars="0"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12</w:t>
            </w:r>
          </w:p>
        </w:tc>
        <w:tc>
          <w:tcPr>
            <w:tcW w:w="699"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29</w:t>
            </w:r>
          </w:p>
        </w:tc>
        <w:tc>
          <w:tcPr>
            <w:tcW w:w="1376" w:type="dxa"/>
            <w:vAlign w:val="center"/>
          </w:tcPr>
          <w:p>
            <w:pPr>
              <w:spacing w:line="240" w:lineRule="auto"/>
              <w:ind w:left="0" w:leftChars="0" w:firstLine="0" w:firstLineChars="0"/>
              <w:jc w:val="center"/>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记账-103</w:t>
            </w:r>
          </w:p>
        </w:tc>
        <w:tc>
          <w:tcPr>
            <w:tcW w:w="4137" w:type="dxa"/>
            <w:vAlign w:val="center"/>
          </w:tcPr>
          <w:p>
            <w:pPr>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转入基本户水费</w:t>
            </w:r>
          </w:p>
        </w:tc>
        <w:tc>
          <w:tcPr>
            <w:tcW w:w="1667" w:type="dxa"/>
            <w:vAlign w:val="center"/>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3438.81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3" w:type="dxa"/>
            <w:gridSpan w:val="4"/>
            <w:vAlign w:val="top"/>
          </w:tcPr>
          <w:p>
            <w:pPr>
              <w:tabs>
                <w:tab w:val="left" w:pos="2758"/>
              </w:tabs>
              <w:spacing w:line="240" w:lineRule="auto"/>
              <w:ind w:firstLine="0" w:firstLineChars="0"/>
              <w:jc w:val="center"/>
              <w:rPr>
                <w:rFonts w:hint="eastAsia" w:ascii="黑体" w:hAnsi="黑体" w:eastAsia="黑体" w:cs="黑体"/>
                <w:b w:val="0"/>
                <w:bCs w:val="0"/>
                <w:sz w:val="21"/>
                <w:szCs w:val="21"/>
                <w:vertAlign w:val="baseline"/>
                <w:lang w:val="en-US" w:eastAsia="zh-CN" w:bidi="zh-CN"/>
              </w:rPr>
            </w:pPr>
            <w:r>
              <w:rPr>
                <w:rFonts w:hint="eastAsia" w:ascii="黑体" w:hAnsi="黑体" w:eastAsia="黑体" w:cs="黑体"/>
                <w:b/>
                <w:bCs/>
                <w:sz w:val="21"/>
                <w:szCs w:val="21"/>
                <w:vertAlign w:val="baseline"/>
                <w:lang w:val="en-US" w:eastAsia="zh-CN" w:bidi="zh-CN"/>
              </w:rPr>
              <w:t>本年累计</w:t>
            </w:r>
          </w:p>
        </w:tc>
        <w:tc>
          <w:tcPr>
            <w:tcW w:w="1667" w:type="dxa"/>
            <w:vAlign w:val="top"/>
          </w:tcPr>
          <w:p>
            <w:pPr>
              <w:spacing w:line="240" w:lineRule="auto"/>
              <w:ind w:firstLine="0" w:firstLineChars="0"/>
              <w:jc w:val="right"/>
              <w:rPr>
                <w:rFonts w:hint="default" w:ascii="黑体" w:hAnsi="黑体" w:eastAsia="黑体" w:cs="黑体"/>
                <w:b w:val="0"/>
                <w:bCs w:val="0"/>
                <w:sz w:val="21"/>
                <w:szCs w:val="21"/>
                <w:vertAlign w:val="baseline"/>
                <w:lang w:val="en-US" w:eastAsia="zh-CN" w:bidi="zh-CN"/>
              </w:rPr>
            </w:pPr>
            <w:r>
              <w:rPr>
                <w:rFonts w:hint="eastAsia" w:ascii="黑体" w:hAnsi="黑体" w:eastAsia="黑体" w:cs="黑体"/>
                <w:b w:val="0"/>
                <w:bCs w:val="0"/>
                <w:sz w:val="21"/>
                <w:szCs w:val="21"/>
                <w:vertAlign w:val="baseline"/>
                <w:lang w:val="en-US" w:eastAsia="zh-CN" w:bidi="zh-CN"/>
              </w:rPr>
              <w:t>400000.00</w:t>
            </w:r>
          </w:p>
        </w:tc>
      </w:tr>
    </w:tbl>
    <w:p>
      <w:pPr>
        <w:pStyle w:val="2"/>
        <w:numPr>
          <w:ilvl w:val="0"/>
          <w:numId w:val="0"/>
        </w:numPr>
        <w:ind w:leftChars="200"/>
        <w:rPr>
          <w:rFonts w:hint="eastAsia" w:eastAsia="宋体"/>
          <w:lang w:val="en-US" w:eastAsia="zh-CN"/>
        </w:rPr>
      </w:pPr>
      <w:r>
        <w:rPr>
          <w:rFonts w:hint="eastAsia" w:eastAsia="宋体"/>
          <w:lang w:val="en-US" w:eastAsia="zh-CN"/>
        </w:rPr>
        <w:t xml:space="preserve">    </w:t>
      </w:r>
    </w:p>
    <w:p>
      <w:pPr>
        <w:ind w:firstLine="560"/>
        <w:rPr>
          <w:rFonts w:hint="eastAsia"/>
          <w:lang w:val="en-US" w:eastAsia="zh-CN"/>
        </w:rPr>
      </w:pPr>
    </w:p>
    <w:p>
      <w:pPr>
        <w:ind w:left="0" w:leftChars="0" w:firstLine="0" w:firstLineChars="0"/>
        <w:rPr>
          <w:rFonts w:hint="eastAsia"/>
          <w:lang w:val="en-US" w:eastAsia="zh-CN"/>
        </w:rPr>
      </w:pPr>
    </w:p>
    <w:p>
      <w:pPr>
        <w:ind w:firstLine="560"/>
        <w:rPr>
          <w:rFonts w:hint="eastAsia"/>
          <w:lang w:val="en-US" w:eastAsia="zh-CN"/>
        </w:rPr>
      </w:pPr>
    </w:p>
    <w:p>
      <w:pPr>
        <w:ind w:firstLine="560"/>
        <w:rPr>
          <w:rFonts w:hint="eastAsia"/>
          <w:lang w:val="en-US" w:eastAsia="zh-CN"/>
        </w:rPr>
      </w:pPr>
    </w:p>
    <w:p>
      <w:pPr>
        <w:ind w:firstLine="560"/>
        <w:rPr>
          <w:rFonts w:hint="eastAsia"/>
          <w:lang w:val="en-US" w:eastAsia="zh-CN"/>
        </w:rPr>
      </w:pPr>
    </w:p>
    <w:p>
      <w:pPr>
        <w:ind w:firstLine="560"/>
        <w:rPr>
          <w:rFonts w:hint="eastAsia"/>
          <w:lang w:val="en-US" w:eastAsia="zh-CN"/>
        </w:rPr>
      </w:pPr>
    </w:p>
    <w:p>
      <w:pPr>
        <w:ind w:firstLine="560"/>
        <w:rPr>
          <w:rFonts w:hint="eastAsia"/>
          <w:lang w:val="en-US" w:eastAsia="zh-CN"/>
        </w:rPr>
      </w:pPr>
    </w:p>
    <w:p>
      <w:pPr>
        <w:ind w:firstLine="560"/>
        <w:rPr>
          <w:rFonts w:hint="eastAsia"/>
          <w:lang w:val="en-US" w:eastAsia="zh-CN"/>
        </w:rPr>
      </w:pPr>
    </w:p>
    <w:p>
      <w:pPr>
        <w:ind w:firstLine="2640" w:firstLineChars="1100"/>
        <w:jc w:val="both"/>
        <w:rPr>
          <w:lang w:val="en-US"/>
        </w:rPr>
      </w:pPr>
      <w:r>
        <w:rPr>
          <w:sz w:val="24"/>
        </w:rPr>
        <w:pict>
          <v:shape id="_x0000_s2053" o:spid="_x0000_s2053" o:spt="32" type="#_x0000_t32" style="position:absolute;left:0pt;margin-left:142.9pt;margin-top:7.85pt;height:42.5pt;width:0pt;z-index:251664384;mso-width-relative:page;mso-height-relative:page;" filled="f" stroked="f" coordsize="21600,21600" o:gfxdata="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nt1OP1wAAAAoBAAAP&#10;AAAAAAAAAAEAIAAAACIAAABkcnMvZG93bnJldi54bWxQSwECFAAUAAAACACHTuJAylxDgVICAABq&#10;BAAADgAAAAAAAAABACAAAAAmAQAAZHJzL2Uyb0RvYy54bWxQSwUGAAAAAAYABgBZAQAA6gUAAAAA&#10;">
            <v:path arrowok="t"/>
            <v:fill on="f" focussize="0,0"/>
            <v:stroke on="f" weight="3pt" endarrow="open"/>
            <v:imagedata o:title=""/>
            <o:lock v:ext="edit" aspectratio="f"/>
            <v:shadow on="t" color="#000000" opacity="22937f" offset="0pt,1.81102362204724pt" origin="0f,32768f" matrix="65536f,0f,0f,65536f"/>
          </v:shape>
        </w:pict>
      </w:r>
    </w:p>
    <w:p>
      <w:pPr>
        <w:pStyle w:val="4"/>
        <w:spacing w:before="120"/>
        <w:ind w:left="0" w:leftChars="0" w:firstLine="0" w:firstLineChars="0"/>
      </w:pPr>
      <w:r>
        <w:rPr>
          <w:rFonts w:hint="eastAsia"/>
        </w:rPr>
        <w:t>（四</w:t>
      </w:r>
      <w:r>
        <w:rPr>
          <w:rFonts w:hint="eastAsia"/>
          <w:lang w:eastAsia="zh-CN"/>
        </w:rPr>
        <w:t>）</w:t>
      </w:r>
      <w:r>
        <w:rPr>
          <w:rFonts w:hint="eastAsia"/>
        </w:rPr>
        <w:t>组织及管理</w:t>
      </w:r>
      <w:bookmarkEnd w:id="10"/>
    </w:p>
    <w:p>
      <w:pPr>
        <w:ind w:firstLine="560"/>
      </w:pPr>
      <w:bookmarkStart w:id="11" w:name="_Toc45292261"/>
      <w:r>
        <w:rPr>
          <w:rFonts w:hint="eastAsia"/>
          <w:lang w:val="en-US"/>
        </w:rPr>
        <w:t>为</w:t>
      </w:r>
      <w:r>
        <w:rPr>
          <w:rFonts w:hint="eastAsia"/>
          <w:lang w:val="en-US" w:eastAsia="zh-CN"/>
        </w:rPr>
        <w:t>确保医保经办服务大厅能够正常运转</w:t>
      </w:r>
      <w:r>
        <w:rPr>
          <w:rFonts w:hint="eastAsia"/>
        </w:rPr>
        <w:t>，</w:t>
      </w:r>
      <w:r>
        <w:rPr>
          <w:rFonts w:hint="eastAsia"/>
          <w:lang w:val="en-US" w:eastAsia="zh-CN"/>
        </w:rPr>
        <w:t>医疗保障局</w:t>
      </w:r>
      <w:r>
        <w:rPr>
          <w:rFonts w:hint="eastAsia"/>
        </w:rPr>
        <w:t>采取</w:t>
      </w:r>
      <w:r>
        <w:rPr>
          <w:rFonts w:hint="eastAsia"/>
          <w:lang w:val="en-US"/>
        </w:rPr>
        <w:t>了以下保障</w:t>
      </w:r>
      <w:r>
        <w:rPr>
          <w:rFonts w:hint="eastAsia"/>
        </w:rPr>
        <w:t>措施：</w:t>
      </w:r>
    </w:p>
    <w:p>
      <w:pPr>
        <w:ind w:firstLine="560"/>
      </w:pPr>
      <w:r>
        <w:rPr>
          <w:rFonts w:hint="eastAsia"/>
        </w:rPr>
        <w:t>（</w:t>
      </w:r>
      <w:r>
        <w:rPr>
          <w:rFonts w:hint="eastAsia"/>
          <w:lang w:val="en-US"/>
        </w:rPr>
        <w:t>1</w:t>
      </w:r>
      <w:r>
        <w:rPr>
          <w:rFonts w:hint="eastAsia"/>
        </w:rPr>
        <w:t>）加强组织领导。</w:t>
      </w:r>
      <w:r>
        <w:rPr>
          <w:rFonts w:hint="eastAsia"/>
          <w:color w:val="auto"/>
        </w:rPr>
        <w:t>成立由局主要领导同志任组长</w:t>
      </w:r>
      <w:r>
        <w:rPr>
          <w:rFonts w:hint="eastAsia"/>
          <w:color w:val="auto"/>
          <w:lang w:eastAsia="zh-CN"/>
        </w:rPr>
        <w:t>、党组副书记任副组长的工作小组</w:t>
      </w:r>
      <w:r>
        <w:rPr>
          <w:rFonts w:hint="eastAsia"/>
          <w:color w:val="auto"/>
        </w:rPr>
        <w:t>，负责组织领导</w:t>
      </w:r>
      <w:r>
        <w:rPr>
          <w:rFonts w:hint="eastAsia"/>
          <w:color w:val="auto"/>
          <w:lang w:eastAsia="zh-CN"/>
        </w:rPr>
        <w:t>医保经办服务大厅日常</w:t>
      </w:r>
      <w:r>
        <w:rPr>
          <w:rFonts w:hint="eastAsia"/>
          <w:color w:val="auto"/>
        </w:rPr>
        <w:t>管理工作，成员由</w:t>
      </w:r>
      <w:r>
        <w:rPr>
          <w:rFonts w:hint="eastAsia"/>
          <w:color w:val="auto"/>
          <w:lang w:eastAsia="zh-CN"/>
        </w:rPr>
        <w:t>各科室主任</w:t>
      </w:r>
      <w:r>
        <w:rPr>
          <w:rFonts w:hint="eastAsia"/>
          <w:color w:val="auto"/>
        </w:rPr>
        <w:t>组成，积极采取“微信群+队伍</w:t>
      </w:r>
      <w:r>
        <w:rPr>
          <w:rFonts w:hint="eastAsia"/>
        </w:rPr>
        <w:t>管理+工作管理”新模式，加强职工和临时用工管理，提高工作效率，圆满完成各项</w:t>
      </w:r>
      <w:r>
        <w:rPr>
          <w:rFonts w:hint="eastAsia"/>
          <w:lang w:eastAsia="zh-CN"/>
        </w:rPr>
        <w:t>运行</w:t>
      </w:r>
      <w:r>
        <w:rPr>
          <w:rFonts w:hint="eastAsia"/>
        </w:rPr>
        <w:t>任务。</w:t>
      </w:r>
    </w:p>
    <w:p>
      <w:pPr>
        <w:ind w:firstLine="560"/>
        <w:rPr>
          <w:rFonts w:hint="eastAsia"/>
        </w:rPr>
      </w:pPr>
      <w:r>
        <w:rPr>
          <w:rFonts w:hint="eastAsia"/>
          <w:lang w:val="zh-CN" w:eastAsia="zh-CN"/>
        </w:rPr>
        <w:t>（</w:t>
      </w:r>
      <w:r>
        <w:rPr>
          <w:rFonts w:hint="eastAsia"/>
          <w:lang w:val="en-US" w:eastAsia="zh-CN"/>
        </w:rPr>
        <w:t>2</w:t>
      </w:r>
      <w:r>
        <w:rPr>
          <w:rFonts w:hint="eastAsia"/>
          <w:lang w:val="zh-CN" w:eastAsia="zh-CN"/>
        </w:rPr>
        <w:t>）加强资金支出管理。围绕医保经办服务大厅重点工作，进一步优化支出结构，编细编实预算、按规定及时下达资金，确保支出进度达标。积极开展预算资金使用绩效运行监控，发现问题及时采取措施，确保绩效目标如期保质实现。</w:t>
      </w:r>
    </w:p>
    <w:p>
      <w:pPr>
        <w:ind w:firstLine="560"/>
        <w:rPr>
          <w:rFonts w:hint="eastAsia"/>
        </w:rPr>
      </w:pPr>
      <w:r>
        <w:rPr>
          <w:rFonts w:hint="eastAsia"/>
          <w:lang w:eastAsia="zh-CN"/>
        </w:rPr>
        <w:t>（</w:t>
      </w:r>
      <w:r>
        <w:rPr>
          <w:rFonts w:hint="eastAsia"/>
          <w:lang w:val="en-US" w:eastAsia="zh-CN"/>
        </w:rPr>
        <w:t>3</w:t>
      </w:r>
      <w:r>
        <w:rPr>
          <w:rFonts w:hint="eastAsia"/>
          <w:lang w:eastAsia="zh-CN"/>
        </w:rPr>
        <w:t>）</w:t>
      </w:r>
      <w:r>
        <w:rPr>
          <w:rFonts w:hint="eastAsia"/>
        </w:rPr>
        <w:t>严格执行单位管理制度。一是严格执行财务管理制度。日常工作</w:t>
      </w:r>
      <w:r>
        <w:rPr>
          <w:rFonts w:hint="eastAsia"/>
          <w:lang w:eastAsia="zh-CN"/>
        </w:rPr>
        <w:t>运行</w:t>
      </w:r>
      <w:r>
        <w:rPr>
          <w:rFonts w:hint="eastAsia"/>
        </w:rPr>
        <w:t>需要的服务采购，以报告单或计划表上报分管领导和局长批准后，严格按照法定限额以上的货物和服务政府采购管理规定及</w:t>
      </w:r>
      <w:r>
        <w:rPr>
          <w:rFonts w:hint="eastAsia"/>
          <w:lang w:eastAsia="zh-CN"/>
        </w:rPr>
        <w:t>医疗保障局</w:t>
      </w:r>
      <w:r>
        <w:rPr>
          <w:rFonts w:hint="eastAsia"/>
        </w:rPr>
        <w:t>规定限额以下的货物和服务采购管理办法落实。二是自觉遵守</w:t>
      </w:r>
      <w:r>
        <w:rPr>
          <w:rFonts w:hint="eastAsia"/>
          <w:lang w:eastAsia="zh-CN"/>
        </w:rPr>
        <w:t>医疗保障</w:t>
      </w:r>
      <w:r>
        <w:rPr>
          <w:rFonts w:hint="eastAsia"/>
          <w:lang w:val="en-US"/>
        </w:rPr>
        <w:t>局</w:t>
      </w:r>
      <w:r>
        <w:rPr>
          <w:rFonts w:hint="eastAsia"/>
        </w:rPr>
        <w:t>各项工作纪律和管理制度。坚决避免感情代替纪律，用批评代替处罚，以信任代替监督，切实改变制度执行不严、纪律管束不力等不良问题，以纪律和制度的严格执行，推进党风政风持续向好，来保证全年工作</w:t>
      </w:r>
      <w:r>
        <w:rPr>
          <w:rFonts w:hint="eastAsia"/>
          <w:lang w:eastAsia="zh-CN"/>
        </w:rPr>
        <w:t>圆满</w:t>
      </w:r>
      <w:r>
        <w:rPr>
          <w:rFonts w:hint="eastAsia"/>
        </w:rPr>
        <w:t>落实。</w:t>
      </w:r>
    </w:p>
    <w:p>
      <w:pPr>
        <w:ind w:firstLine="560"/>
        <w:rPr>
          <w:rFonts w:hint="eastAsia"/>
        </w:rPr>
      </w:pPr>
      <w:r>
        <w:rPr>
          <w:rFonts w:hint="eastAsia"/>
          <w:lang w:eastAsia="zh-CN"/>
        </w:rPr>
        <w:t>（</w:t>
      </w:r>
      <w:r>
        <w:rPr>
          <w:rFonts w:hint="eastAsia"/>
          <w:lang w:val="en-US" w:eastAsia="zh-CN"/>
        </w:rPr>
        <w:t>4</w:t>
      </w:r>
      <w:r>
        <w:rPr>
          <w:rFonts w:hint="eastAsia"/>
          <w:lang w:eastAsia="zh-CN"/>
        </w:rPr>
        <w:t>）</w:t>
      </w:r>
      <w:r>
        <w:rPr>
          <w:rFonts w:hint="eastAsia"/>
        </w:rPr>
        <w:t>加强宣传培训调研。加强系统内人员培训，提高职工业务素质；加强调研，提出优化财政资金配置、提高资金使用效益的意见；加大宣传力度，强化预算绩效管理意识，促进预算绩效水平进一步提升。</w:t>
      </w:r>
    </w:p>
    <w:p>
      <w:pPr>
        <w:pStyle w:val="4"/>
        <w:spacing w:before="120"/>
        <w:ind w:firstLine="562"/>
      </w:pPr>
      <w:r>
        <w:rPr>
          <w:rFonts w:hint="eastAsia"/>
        </w:rPr>
        <w:t>（五）项目绩效目标</w:t>
      </w:r>
      <w:bookmarkEnd w:id="11"/>
    </w:p>
    <w:p>
      <w:pPr>
        <w:ind w:firstLine="560"/>
      </w:pPr>
      <w:bookmarkStart w:id="12" w:name="_Toc45292262"/>
      <w:r>
        <w:rPr>
          <w:rFonts w:hint="eastAsia"/>
        </w:rPr>
        <w:t>1、总体绩效目标</w:t>
      </w:r>
    </w:p>
    <w:p>
      <w:pPr>
        <w:ind w:firstLine="560"/>
        <w:rPr>
          <w:rFonts w:hint="eastAsia"/>
          <w:lang w:val="en-US" w:eastAsia="zh-CN"/>
        </w:rPr>
      </w:pPr>
      <w:r>
        <w:rPr>
          <w:rFonts w:hint="eastAsia"/>
          <w:lang w:val="en-US" w:eastAsia="zh-CN"/>
        </w:rPr>
        <w:t>以习近平新时代中国特色社会主义思想为指导，认真学习贯彻党的十九大和十九届二中、三中、四中、五中全会精神和习近平总书记关于医疗保障工作的重要讲话、指示批示精神，全面落实市委、市政府决策部署，不断扩大参保覆盖面，稳定全市城乡居民基本医疗保险参保人数；实现城乡居民基本医疗保险市级统筹，</w:t>
      </w:r>
      <w:r>
        <w:rPr>
          <w:rFonts w:hint="eastAsia"/>
          <w:lang w:eastAsia="zh-CN"/>
        </w:rPr>
        <w:t>医保经办服务大厅的运行给居民</w:t>
      </w:r>
      <w:r>
        <w:rPr>
          <w:rFonts w:hint="default"/>
          <w:lang w:val="en-US" w:eastAsia="zh-CN"/>
        </w:rPr>
        <w:t>提供更加便捷可及的医疗保障公共服务</w:t>
      </w:r>
      <w:r>
        <w:rPr>
          <w:rFonts w:hint="eastAsia"/>
          <w:lang w:val="en-US" w:eastAsia="zh-CN"/>
        </w:rPr>
        <w:t>，同时</w:t>
      </w:r>
      <w:r>
        <w:rPr>
          <w:rFonts w:hint="eastAsia"/>
        </w:rPr>
        <w:t>提</w:t>
      </w:r>
      <w:r>
        <w:rPr>
          <w:rFonts w:hint="eastAsia"/>
          <w:lang w:val="en-US" w:eastAsia="zh-CN"/>
        </w:rPr>
        <w:t>升了</w:t>
      </w:r>
      <w:r>
        <w:rPr>
          <w:rFonts w:hint="eastAsia"/>
        </w:rPr>
        <w:t>医疗保障经办管理水平</w:t>
      </w:r>
      <w:r>
        <w:rPr>
          <w:rFonts w:hint="eastAsia"/>
          <w:lang w:eastAsia="zh-CN"/>
        </w:rPr>
        <w:t>，</w:t>
      </w:r>
      <w:r>
        <w:rPr>
          <w:rFonts w:hint="eastAsia"/>
          <w:lang w:val="en-US" w:eastAsia="zh-CN"/>
        </w:rPr>
        <w:t>确保城乡居民基本医疗保障体系高效运行。</w:t>
      </w:r>
    </w:p>
    <w:p>
      <w:pPr>
        <w:numPr>
          <w:ilvl w:val="0"/>
          <w:numId w:val="0"/>
        </w:numPr>
        <w:ind w:firstLine="560" w:firstLineChars="200"/>
        <w:rPr>
          <w:rFonts w:hint="eastAsia"/>
          <w:lang w:eastAsia="zh-CN"/>
        </w:rPr>
      </w:pPr>
      <w:r>
        <w:rPr>
          <w:rFonts w:hint="eastAsia"/>
          <w:lang w:val="en-US" w:eastAsia="zh-CN"/>
        </w:rPr>
        <w:t>2、</w:t>
      </w:r>
      <w:r>
        <w:rPr>
          <w:rFonts w:hint="eastAsia"/>
          <w:lang w:eastAsia="zh-CN"/>
        </w:rPr>
        <w:t>绩效指标</w:t>
      </w:r>
    </w:p>
    <w:p>
      <w:pPr>
        <w:pStyle w:val="2"/>
        <w:keepNext w:val="0"/>
        <w:keepLines w:val="0"/>
        <w:pageBreakBefore w:val="0"/>
        <w:widowControl w:val="0"/>
        <w:numPr>
          <w:ilvl w:val="0"/>
          <w:numId w:val="0"/>
        </w:numPr>
        <w:kinsoku/>
        <w:wordWrap/>
        <w:overflowPunct/>
        <w:topLinePunct/>
        <w:autoSpaceDE/>
        <w:autoSpaceDN/>
        <w:bidi w:val="0"/>
        <w:adjustRightInd/>
        <w:snapToGrid/>
        <w:spacing w:before="0" w:line="360" w:lineRule="auto"/>
        <w:ind w:left="0" w:leftChars="0" w:firstLine="560" w:firstLineChars="200"/>
        <w:textAlignment w:val="auto"/>
        <w:rPr>
          <w:rFonts w:hint="eastAsia" w:ascii="黑体" w:hAnsi="黑体" w:eastAsia="黑体" w:cs="黑体"/>
          <w:sz w:val="24"/>
          <w:lang w:val="en-US" w:eastAsia="zh-CN"/>
        </w:rPr>
      </w:pPr>
      <w:r>
        <w:rPr>
          <w:rFonts w:hint="eastAsia" w:ascii="Times New Roman" w:hAnsi="Times New Roman" w:eastAsia="仿宋_GB2312" w:cs="宋体"/>
          <w:b w:val="0"/>
          <w:bCs w:val="0"/>
          <w:sz w:val="28"/>
          <w:szCs w:val="22"/>
          <w:lang w:val="en-US" w:eastAsia="zh-CN" w:bidi="zh-CN"/>
        </w:rPr>
        <w:t>“局机关及医保经办服务大厅运行项目经费”的绩效指标设置为表1-3。</w:t>
      </w:r>
      <w:r>
        <w:rPr>
          <w:rFonts w:hint="eastAsia" w:ascii="黑体" w:hAnsi="黑体" w:eastAsia="黑体" w:cs="黑体"/>
          <w:sz w:val="24"/>
          <w:lang w:val="en-US" w:eastAsia="zh-CN"/>
        </w:rPr>
        <w:t xml:space="preserve">  </w:t>
      </w:r>
    </w:p>
    <w:p>
      <w:pPr>
        <w:rPr>
          <w:rFonts w:hint="eastAsia"/>
        </w:rPr>
      </w:pPr>
    </w:p>
    <w:p>
      <w:pPr>
        <w:ind w:firstLine="0" w:firstLineChars="0"/>
        <w:jc w:val="center"/>
        <w:rPr>
          <w:rFonts w:hint="eastAsia" w:ascii="黑体" w:hAnsi="黑体" w:eastAsia="黑体" w:cs="黑体"/>
          <w:sz w:val="30"/>
          <w:szCs w:val="30"/>
        </w:rPr>
      </w:pPr>
      <w:r>
        <w:rPr>
          <w:rFonts w:hint="eastAsia" w:ascii="黑体" w:hAnsi="黑体" w:eastAsia="黑体" w:cs="黑体"/>
          <w:sz w:val="30"/>
          <w:szCs w:val="30"/>
        </w:rPr>
        <w:t xml:space="preserve">表1-3 </w:t>
      </w:r>
      <w:r>
        <w:rPr>
          <w:rFonts w:hint="eastAsia" w:ascii="黑体" w:hAnsi="黑体" w:eastAsia="黑体" w:cs="黑体"/>
          <w:sz w:val="30"/>
          <w:szCs w:val="30"/>
          <w:lang w:val="en-US" w:eastAsia="zh-CN"/>
        </w:rPr>
        <w:t>局机关及医保经办服务大厅运行项目经费</w:t>
      </w:r>
      <w:r>
        <w:rPr>
          <w:rFonts w:hint="eastAsia" w:ascii="黑体" w:hAnsi="黑体" w:eastAsia="黑体" w:cs="黑体"/>
          <w:sz w:val="30"/>
          <w:szCs w:val="30"/>
        </w:rPr>
        <w:t>绩效指标表</w:t>
      </w:r>
    </w:p>
    <w:tbl>
      <w:tblPr>
        <w:tblStyle w:val="18"/>
        <w:tblW w:w="894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6"/>
        <w:gridCol w:w="1294"/>
        <w:gridCol w:w="1320"/>
        <w:gridCol w:w="2090"/>
        <w:gridCol w:w="775"/>
        <w:gridCol w:w="7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1346"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一级指标</w:t>
            </w:r>
          </w:p>
        </w:tc>
        <w:tc>
          <w:tcPr>
            <w:tcW w:w="1294"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二级指标</w:t>
            </w:r>
          </w:p>
        </w:tc>
        <w:tc>
          <w:tcPr>
            <w:tcW w:w="1320" w:type="dxa"/>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三级指标</w:t>
            </w:r>
          </w:p>
        </w:tc>
        <w:tc>
          <w:tcPr>
            <w:tcW w:w="2090" w:type="dxa"/>
            <w:shd w:val="clear" w:color="auto" w:fill="auto"/>
            <w:vAlign w:val="center"/>
          </w:tcPr>
          <w:p>
            <w:pPr>
              <w:keepNext w:val="0"/>
              <w:keepLines w:val="0"/>
              <w:widowControl/>
              <w:suppressLineNumbers w:val="0"/>
              <w:ind w:left="0" w:leftChars="0" w:firstLine="241" w:firstLineChars="100"/>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绩效指标描述</w:t>
            </w:r>
          </w:p>
        </w:tc>
        <w:tc>
          <w:tcPr>
            <w:tcW w:w="2890" w:type="dxa"/>
            <w:gridSpan w:val="3"/>
            <w:shd w:val="clear" w:color="auto" w:fill="auto"/>
            <w:vAlign w:val="center"/>
          </w:tcPr>
          <w:p>
            <w:pPr>
              <w:keepNext w:val="0"/>
              <w:keepLines w:val="0"/>
              <w:widowControl/>
              <w:suppressLineNumbers w:val="0"/>
              <w:ind w:left="0" w:leftChars="0" w:firstLine="241" w:firstLineChars="10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6" w:hRule="atLeast"/>
        </w:trPr>
        <w:tc>
          <w:tcPr>
            <w:tcW w:w="1346"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产出指标</w:t>
            </w:r>
          </w:p>
        </w:tc>
        <w:tc>
          <w:tcPr>
            <w:tcW w:w="1294"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lang w:val="en-US" w:eastAsia="zh-CN" w:bidi="zh-CN"/>
              </w:rPr>
            </w:pPr>
            <w:r>
              <w:rPr>
                <w:rFonts w:hint="eastAsia" w:ascii="仿宋_GB2312" w:hAnsi="仿宋_GB2312" w:eastAsia="仿宋_GB2312" w:cs="仿宋_GB2312"/>
                <w:b w:val="0"/>
                <w:bCs w:val="0"/>
                <w:i w:val="0"/>
                <w:iCs w:val="0"/>
                <w:color w:val="000000"/>
                <w:kern w:val="0"/>
                <w:sz w:val="22"/>
                <w:szCs w:val="22"/>
                <w:u w:val="none"/>
                <w:lang w:val="en-US" w:eastAsia="zh-CN" w:bidi="ar"/>
              </w:rPr>
              <w:t>数量指标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基金监管县（市）范围</w:t>
            </w:r>
          </w:p>
        </w:tc>
        <w:tc>
          <w:tcPr>
            <w:tcW w:w="209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全市范围内基金监管</w:t>
            </w:r>
          </w:p>
        </w:tc>
        <w:tc>
          <w:tcPr>
            <w:tcW w:w="775"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文字描述</w:t>
            </w:r>
          </w:p>
        </w:tc>
        <w:tc>
          <w:tcPr>
            <w:tcW w:w="79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132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市本级和8个县（市）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6" w:hRule="atLeast"/>
        </w:trPr>
        <w:tc>
          <w:tcPr>
            <w:tcW w:w="1346"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产出指标</w:t>
            </w:r>
          </w:p>
        </w:tc>
        <w:tc>
          <w:tcPr>
            <w:tcW w:w="1294"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质量指标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经费支出准确率</w:t>
            </w:r>
          </w:p>
        </w:tc>
        <w:tc>
          <w:tcPr>
            <w:tcW w:w="20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准确率</w:t>
            </w:r>
          </w:p>
        </w:tc>
        <w:tc>
          <w:tcPr>
            <w:tcW w:w="775" w:type="dxa"/>
            <w:shd w:val="clear" w:color="auto" w:fill="auto"/>
            <w:vAlign w:val="center"/>
          </w:tcPr>
          <w:p>
            <w:pPr>
              <w:keepNext w:val="0"/>
              <w:keepLines w:val="0"/>
              <w:widowControl/>
              <w:suppressLineNumbers w:val="0"/>
              <w:ind w:left="0" w:leftChars="0" w:firstLine="220" w:firstLineChars="10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w:t>
            </w:r>
          </w:p>
        </w:tc>
        <w:tc>
          <w:tcPr>
            <w:tcW w:w="795" w:type="dxa"/>
            <w:shd w:val="clear" w:color="auto" w:fill="auto"/>
            <w:vAlign w:val="center"/>
          </w:tcPr>
          <w:p>
            <w:pPr>
              <w:keepNext w:val="0"/>
              <w:keepLines w:val="0"/>
              <w:widowControl/>
              <w:suppressLineNumbers w:val="0"/>
              <w:ind w:left="0" w:leftChars="0" w:firstLine="220" w:firstLineChars="10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100</w:t>
            </w:r>
          </w:p>
        </w:tc>
        <w:tc>
          <w:tcPr>
            <w:tcW w:w="13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38" w:hRule="atLeast"/>
        </w:trPr>
        <w:tc>
          <w:tcPr>
            <w:tcW w:w="1346" w:type="dxa"/>
            <w:shd w:val="clear" w:color="auto" w:fill="auto"/>
            <w:vAlign w:val="center"/>
          </w:tcPr>
          <w:p>
            <w:pPr>
              <w:ind w:left="0" w:leftChars="0" w:firstLine="0" w:firstLineChars="0"/>
              <w:jc w:val="both"/>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产出指标</w:t>
            </w:r>
          </w:p>
        </w:tc>
        <w:tc>
          <w:tcPr>
            <w:tcW w:w="1294"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时效指标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按时间进度要求支付使用资金</w:t>
            </w:r>
          </w:p>
        </w:tc>
        <w:tc>
          <w:tcPr>
            <w:tcW w:w="20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月度时序</w:t>
            </w:r>
          </w:p>
        </w:tc>
        <w:tc>
          <w:tcPr>
            <w:tcW w:w="775"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文字描述</w:t>
            </w:r>
          </w:p>
        </w:tc>
        <w:tc>
          <w:tcPr>
            <w:tcW w:w="79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1320" w:type="dxa"/>
            <w:shd w:val="clear" w:color="auto" w:fill="auto"/>
            <w:vAlign w:val="center"/>
          </w:tcPr>
          <w:p>
            <w:pPr>
              <w:keepNext w:val="0"/>
              <w:keepLines w:val="0"/>
              <w:widowControl/>
              <w:suppressLineNumbers w:val="0"/>
              <w:ind w:left="0" w:leftChars="0" w:firstLine="220" w:firstLineChars="10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1346" w:type="dxa"/>
            <w:shd w:val="clear" w:color="auto" w:fill="auto"/>
            <w:vAlign w:val="center"/>
          </w:tcPr>
          <w:p>
            <w:pPr>
              <w:ind w:left="0" w:leftChars="0" w:firstLine="0" w:firstLineChars="0"/>
              <w:jc w:val="both"/>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产出指标</w:t>
            </w:r>
          </w:p>
        </w:tc>
        <w:tc>
          <w:tcPr>
            <w:tcW w:w="1294" w:type="dxa"/>
            <w:shd w:val="clear" w:color="auto" w:fill="auto"/>
            <w:vAlign w:val="center"/>
          </w:tcPr>
          <w:p>
            <w:pPr>
              <w:ind w:left="0" w:leftChars="0" w:firstLine="0" w:firstLineChars="0"/>
              <w:jc w:val="left"/>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z w:val="22"/>
                <w:szCs w:val="22"/>
                <w:u w:val="none"/>
              </w:rPr>
              <w:t>成本指标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各项经费成本</w:t>
            </w:r>
          </w:p>
        </w:tc>
        <w:tc>
          <w:tcPr>
            <w:tcW w:w="209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小于等于核定数</w:t>
            </w:r>
          </w:p>
        </w:tc>
        <w:tc>
          <w:tcPr>
            <w:tcW w:w="775"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文字描述</w:t>
            </w:r>
          </w:p>
        </w:tc>
        <w:tc>
          <w:tcPr>
            <w:tcW w:w="79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132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小于等于核定数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2" w:hRule="atLeast"/>
        </w:trPr>
        <w:tc>
          <w:tcPr>
            <w:tcW w:w="1346" w:type="dxa"/>
            <w:shd w:val="clear" w:color="auto" w:fill="auto"/>
            <w:vAlign w:val="center"/>
          </w:tcPr>
          <w:p>
            <w:pPr>
              <w:ind w:left="0" w:leftChars="0" w:firstLine="0" w:firstLineChars="0"/>
              <w:jc w:val="both"/>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z w:val="22"/>
                <w:szCs w:val="22"/>
                <w:u w:val="none"/>
              </w:rPr>
              <w:t>效益指标</w:t>
            </w:r>
          </w:p>
        </w:tc>
        <w:tc>
          <w:tcPr>
            <w:tcW w:w="1294"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经济效益指标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提高效率</w:t>
            </w:r>
          </w:p>
        </w:tc>
        <w:tc>
          <w:tcPr>
            <w:tcW w:w="2090" w:type="dxa"/>
            <w:shd w:val="clear" w:color="auto" w:fill="auto"/>
            <w:vAlign w:val="center"/>
          </w:tcPr>
          <w:p>
            <w:pPr>
              <w:keepNext w:val="0"/>
              <w:keepLines w:val="0"/>
              <w:widowControl/>
              <w:suppressLineNumbers w:val="0"/>
              <w:ind w:left="0" w:leftChars="0" w:firstLine="440" w:firstLineChars="20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提高效率</w:t>
            </w:r>
          </w:p>
        </w:tc>
        <w:tc>
          <w:tcPr>
            <w:tcW w:w="775"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文字描述</w:t>
            </w:r>
          </w:p>
        </w:tc>
        <w:tc>
          <w:tcPr>
            <w:tcW w:w="795" w:type="dxa"/>
            <w:shd w:val="clear" w:color="auto" w:fill="auto"/>
            <w:vAlign w:val="center"/>
          </w:tcPr>
          <w:p>
            <w:pPr>
              <w:keepNext w:val="0"/>
              <w:keepLines w:val="0"/>
              <w:widowControl/>
              <w:suppressLineNumbers w:val="0"/>
              <w:ind w:left="0" w:leftChars="0" w:firstLine="220" w:firstLineChars="10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132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提高工作人员办公效率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1346"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效益指标</w:t>
            </w:r>
          </w:p>
        </w:tc>
        <w:tc>
          <w:tcPr>
            <w:tcW w:w="1294"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社会效益指标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正常办公条件保障情况</w:t>
            </w:r>
          </w:p>
        </w:tc>
        <w:tc>
          <w:tcPr>
            <w:tcW w:w="209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保障工作正常运转</w:t>
            </w:r>
          </w:p>
        </w:tc>
        <w:tc>
          <w:tcPr>
            <w:tcW w:w="775"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文字描述</w:t>
            </w:r>
          </w:p>
        </w:tc>
        <w:tc>
          <w:tcPr>
            <w:tcW w:w="79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132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trPr>
        <w:tc>
          <w:tcPr>
            <w:tcW w:w="1346" w:type="dxa"/>
            <w:shd w:val="clear" w:color="auto" w:fill="auto"/>
            <w:vAlign w:val="center"/>
          </w:tcPr>
          <w:p>
            <w:pPr>
              <w:ind w:left="0" w:leftChars="0" w:firstLine="0" w:firstLineChars="0"/>
              <w:jc w:val="both"/>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效益指标</w:t>
            </w:r>
          </w:p>
        </w:tc>
        <w:tc>
          <w:tcPr>
            <w:tcW w:w="1294" w:type="dxa"/>
            <w:shd w:val="clear" w:color="auto" w:fill="auto"/>
            <w:vAlign w:val="center"/>
          </w:tcPr>
          <w:p>
            <w:pPr>
              <w:ind w:left="0" w:leftChars="0" w:firstLine="0" w:firstLineChars="0"/>
              <w:jc w:val="left"/>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z w:val="22"/>
                <w:szCs w:val="22"/>
                <w:u w:val="none"/>
              </w:rPr>
              <w:t>可持续影响指标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医保经办服务能力</w:t>
            </w:r>
          </w:p>
        </w:tc>
        <w:tc>
          <w:tcPr>
            <w:tcW w:w="209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提高医保经办服务能力</w:t>
            </w:r>
          </w:p>
        </w:tc>
        <w:tc>
          <w:tcPr>
            <w:tcW w:w="775"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文字描述</w:t>
            </w:r>
          </w:p>
        </w:tc>
        <w:tc>
          <w:tcPr>
            <w:tcW w:w="79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132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46" w:type="dxa"/>
            <w:shd w:val="clear" w:color="auto" w:fill="auto"/>
            <w:vAlign w:val="center"/>
          </w:tcPr>
          <w:p>
            <w:pPr>
              <w:ind w:left="0" w:leftChars="0" w:firstLine="0" w:firstLineChars="0"/>
              <w:jc w:val="both"/>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效益指标</w:t>
            </w:r>
          </w:p>
        </w:tc>
        <w:tc>
          <w:tcPr>
            <w:tcW w:w="1294" w:type="dxa"/>
            <w:shd w:val="clear" w:color="auto" w:fill="auto"/>
            <w:vAlign w:val="center"/>
          </w:tcPr>
          <w:p>
            <w:pPr>
              <w:ind w:left="0" w:leftChars="0" w:firstLine="0" w:firstLineChars="0"/>
              <w:jc w:val="left"/>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z w:val="22"/>
                <w:szCs w:val="22"/>
                <w:u w:val="none"/>
              </w:rPr>
              <w:t>生态效益指标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使用节能减排产品</w:t>
            </w:r>
          </w:p>
        </w:tc>
        <w:tc>
          <w:tcPr>
            <w:tcW w:w="20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持续使用</w:t>
            </w:r>
          </w:p>
        </w:tc>
        <w:tc>
          <w:tcPr>
            <w:tcW w:w="775"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文字描述</w:t>
            </w:r>
          </w:p>
        </w:tc>
        <w:tc>
          <w:tcPr>
            <w:tcW w:w="79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132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是否使用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46" w:type="dxa"/>
            <w:shd w:val="clear" w:color="auto" w:fill="auto"/>
            <w:vAlign w:val="center"/>
          </w:tcPr>
          <w:p>
            <w:pPr>
              <w:ind w:left="0" w:leftChars="0" w:firstLine="0" w:firstLineChars="0"/>
              <w:jc w:val="both"/>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z w:val="22"/>
                <w:szCs w:val="22"/>
                <w:u w:val="none"/>
              </w:rPr>
              <w:t>满意度指标</w:t>
            </w:r>
          </w:p>
        </w:tc>
        <w:tc>
          <w:tcPr>
            <w:tcW w:w="1294" w:type="dxa"/>
            <w:shd w:val="clear" w:color="auto" w:fill="auto"/>
            <w:vAlign w:val="center"/>
          </w:tcPr>
          <w:p>
            <w:pPr>
              <w:ind w:left="0" w:leftChars="0" w:firstLine="0" w:firstLineChars="0"/>
              <w:jc w:val="left"/>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z w:val="22"/>
                <w:szCs w:val="22"/>
                <w:u w:val="none"/>
              </w:rPr>
              <w:t>服务对象满意度指标</w:t>
            </w:r>
          </w:p>
        </w:tc>
        <w:tc>
          <w:tcPr>
            <w:tcW w:w="1320" w:type="dxa"/>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sz w:val="22"/>
                <w:szCs w:val="22"/>
                <w:u w:val="none"/>
              </w:rPr>
              <w:t>服务对象满意度</w:t>
            </w:r>
            <w:r>
              <w:rPr>
                <w:rFonts w:hint="eastAsia" w:ascii="仿宋_GB2312" w:hAnsi="仿宋_GB2312" w:cs="仿宋_GB2312"/>
                <w:b w:val="0"/>
                <w:bCs w:val="0"/>
                <w:i w:val="0"/>
                <w:iCs w:val="0"/>
                <w:color w:val="000000"/>
                <w:sz w:val="22"/>
                <w:szCs w:val="22"/>
                <w:u w:val="none"/>
                <w:lang w:eastAsia="zh-CN"/>
              </w:rPr>
              <w:t>度</w:t>
            </w:r>
          </w:p>
        </w:tc>
        <w:tc>
          <w:tcPr>
            <w:tcW w:w="2090" w:type="dxa"/>
            <w:shd w:val="clear" w:color="auto" w:fill="auto"/>
            <w:vAlign w:val="center"/>
          </w:tcPr>
          <w:p>
            <w:pPr>
              <w:keepNext w:val="0"/>
              <w:keepLines w:val="0"/>
              <w:widowControl/>
              <w:suppressLineNumbers w:val="0"/>
              <w:ind w:left="0" w:leftChars="0" w:firstLine="0" w:firstLineChars="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通过调查或抽查，服务对象对医疗保障工作和服务水平的满意度</w:t>
            </w:r>
          </w:p>
        </w:tc>
        <w:tc>
          <w:tcPr>
            <w:tcW w:w="775" w:type="dxa"/>
            <w:shd w:val="clear" w:color="auto" w:fill="auto"/>
            <w:vAlign w:val="center"/>
          </w:tcPr>
          <w:p>
            <w:pPr>
              <w:keepNext w:val="0"/>
              <w:keepLines w:val="0"/>
              <w:widowControl/>
              <w:suppressLineNumbers w:val="0"/>
              <w:ind w:left="0" w:leftChars="0" w:firstLine="220" w:firstLineChars="10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w:t>
            </w:r>
          </w:p>
        </w:tc>
        <w:tc>
          <w:tcPr>
            <w:tcW w:w="795" w:type="dxa"/>
            <w:shd w:val="clear" w:color="auto" w:fill="auto"/>
            <w:vAlign w:val="center"/>
          </w:tcPr>
          <w:p>
            <w:pPr>
              <w:keepNext w:val="0"/>
              <w:keepLines w:val="0"/>
              <w:widowControl/>
              <w:suppressLineNumbers w:val="0"/>
              <w:ind w:left="0" w:leftChars="0" w:firstLine="220" w:firstLineChars="10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90</w:t>
            </w:r>
          </w:p>
        </w:tc>
        <w:tc>
          <w:tcPr>
            <w:tcW w:w="13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w:t>
            </w:r>
          </w:p>
        </w:tc>
      </w:tr>
    </w:tbl>
    <w:p>
      <w:pPr>
        <w:pStyle w:val="3"/>
        <w:spacing w:before="120"/>
        <w:ind w:firstLine="643"/>
      </w:pPr>
      <w:r>
        <w:rPr>
          <w:rFonts w:hint="eastAsia"/>
        </w:rPr>
        <w:t>二、绩效评价工作开展情况</w:t>
      </w:r>
      <w:bookmarkEnd w:id="12"/>
    </w:p>
    <w:p>
      <w:pPr>
        <w:pStyle w:val="4"/>
        <w:spacing w:before="120"/>
        <w:ind w:firstLine="562"/>
      </w:pPr>
      <w:bookmarkStart w:id="13" w:name="_Toc45292263"/>
      <w:r>
        <w:rPr>
          <w:rFonts w:hint="eastAsia"/>
        </w:rPr>
        <w:t>（一）评价目的、对象和范围</w:t>
      </w:r>
      <w:bookmarkEnd w:id="13"/>
    </w:p>
    <w:p>
      <w:pPr>
        <w:pStyle w:val="5"/>
        <w:spacing w:before="120"/>
        <w:ind w:firstLine="562"/>
      </w:pPr>
      <w:r>
        <w:rPr>
          <w:rFonts w:hint="eastAsia"/>
        </w:rPr>
        <w:t>1.评价目的</w:t>
      </w:r>
    </w:p>
    <w:p>
      <w:pPr>
        <w:ind w:firstLine="560"/>
      </w:pPr>
      <w:r>
        <w:rPr>
          <w:rFonts w:hint="eastAsia"/>
        </w:rPr>
        <w:t>（1）通过对局机关及医保经办服务大厅运行项目经费的绩效评价，了解项目背景，对项目的立项、实施以及收效的全过程进行梳理，评价项目立项的规范性、分析项目条款的合理性，并结合实施情况，考察该项目实施过程、实施效果。</w:t>
      </w:r>
    </w:p>
    <w:p>
      <w:pPr>
        <w:ind w:firstLine="560"/>
      </w:pPr>
      <w:r>
        <w:rPr>
          <w:rFonts w:hint="eastAsia"/>
        </w:rPr>
        <w:t>（2）通过对局机关及医保经办服务大厅运行项目经费</w:t>
      </w:r>
      <w:r>
        <w:rPr>
          <w:rFonts w:hint="eastAsia"/>
          <w:lang w:val="en-US"/>
        </w:rPr>
        <w:t>项目开展</w:t>
      </w:r>
      <w:r>
        <w:rPr>
          <w:rFonts w:hint="eastAsia"/>
        </w:rPr>
        <w:t>绩效评价，客观公正反映项目立项的科学性、相关办法实施的有效性、资金管理的规范性。总结项目实施的经验，发现项目实施过程中存在的问题，提出完善建议，进一步规范财政资金管理，强化财政支出绩效理念，加强部门责任意识，切实提高财政资金使用效益，为指导预算编制、申报绩效目标、财政资金分配提供重要决策依据。</w:t>
      </w:r>
    </w:p>
    <w:p>
      <w:pPr>
        <w:pStyle w:val="5"/>
        <w:spacing w:before="120"/>
        <w:ind w:firstLine="562"/>
      </w:pPr>
      <w:r>
        <w:t>2</w:t>
      </w:r>
      <w:r>
        <w:rPr>
          <w:rFonts w:hint="eastAsia"/>
        </w:rPr>
        <w:t>.评价对象和范围</w:t>
      </w:r>
    </w:p>
    <w:p>
      <w:pPr>
        <w:ind w:firstLine="560"/>
      </w:pPr>
      <w:bookmarkStart w:id="14" w:name="_Toc45292264"/>
      <w:r>
        <w:rPr>
          <w:rFonts w:hint="eastAsia"/>
        </w:rPr>
        <w:t>（</w:t>
      </w:r>
      <w:r>
        <w:rPr>
          <w:rFonts w:hint="eastAsia"/>
          <w:lang w:val="en-US"/>
        </w:rPr>
        <w:t>1</w:t>
      </w:r>
      <w:r>
        <w:rPr>
          <w:rFonts w:hint="eastAsia"/>
        </w:rPr>
        <w:t>）评价对象：局机关及医保经办服务大厅运行项目经费；</w:t>
      </w:r>
    </w:p>
    <w:p>
      <w:pPr>
        <w:ind w:firstLine="560"/>
      </w:pPr>
      <w:r>
        <w:rPr>
          <w:rFonts w:hint="eastAsia"/>
        </w:rPr>
        <w:t>（</w:t>
      </w:r>
      <w:r>
        <w:rPr>
          <w:rFonts w:hint="eastAsia"/>
          <w:lang w:val="en-US"/>
        </w:rPr>
        <w:t>2</w:t>
      </w:r>
      <w:r>
        <w:rPr>
          <w:rFonts w:hint="eastAsia"/>
        </w:rPr>
        <w:t>）评价资金范围：20</w:t>
      </w:r>
      <w:r>
        <w:rPr>
          <w:rFonts w:hint="eastAsia"/>
          <w:lang w:val="en-US" w:eastAsia="zh-CN"/>
        </w:rPr>
        <w:t>21</w:t>
      </w:r>
      <w:r>
        <w:rPr>
          <w:rFonts w:hint="eastAsia"/>
        </w:rPr>
        <w:t>年度该项目</w:t>
      </w:r>
      <w:r>
        <w:rPr>
          <w:rFonts w:hint="eastAsia"/>
          <w:lang w:eastAsia="zh-CN"/>
        </w:rPr>
        <w:t>财政</w:t>
      </w:r>
      <w:r>
        <w:rPr>
          <w:rFonts w:hint="eastAsia"/>
        </w:rPr>
        <w:t>资金</w:t>
      </w:r>
      <w:r>
        <w:rPr>
          <w:rFonts w:hint="eastAsia"/>
          <w:lang w:val="en-US" w:eastAsia="zh-CN"/>
        </w:rPr>
        <w:t>40</w:t>
      </w:r>
      <w:r>
        <w:rPr>
          <w:rFonts w:hint="eastAsia"/>
        </w:rPr>
        <w:t>万元；</w:t>
      </w:r>
    </w:p>
    <w:p>
      <w:pPr>
        <w:ind w:firstLine="560"/>
      </w:pPr>
      <w:r>
        <w:rPr>
          <w:rFonts w:hint="eastAsia"/>
          <w:lang w:val="en-US"/>
        </w:rPr>
        <w:t>（3）</w:t>
      </w:r>
      <w:r>
        <w:rPr>
          <w:rFonts w:hint="eastAsia"/>
        </w:rPr>
        <w:t>评价时间段：20</w:t>
      </w:r>
      <w:r>
        <w:rPr>
          <w:rFonts w:hint="eastAsia"/>
          <w:lang w:val="en-US" w:eastAsia="zh-CN"/>
        </w:rPr>
        <w:t>21</w:t>
      </w:r>
      <w:r>
        <w:rPr>
          <w:rFonts w:hint="eastAsia"/>
        </w:rPr>
        <w:t>年1月1日至20</w:t>
      </w:r>
      <w:r>
        <w:rPr>
          <w:rFonts w:hint="eastAsia"/>
          <w:lang w:val="en-US" w:eastAsia="zh-CN"/>
        </w:rPr>
        <w:t>21</w:t>
      </w:r>
      <w:r>
        <w:rPr>
          <w:rFonts w:hint="eastAsia"/>
        </w:rPr>
        <w:t>年12月31日；</w:t>
      </w:r>
    </w:p>
    <w:p>
      <w:pPr>
        <w:ind w:firstLine="560"/>
      </w:pPr>
      <w:r>
        <w:rPr>
          <w:rFonts w:hint="eastAsia"/>
        </w:rPr>
        <w:t>（</w:t>
      </w:r>
      <w:r>
        <w:rPr>
          <w:rFonts w:hint="eastAsia"/>
          <w:lang w:val="en-US"/>
        </w:rPr>
        <w:t>4）</w:t>
      </w:r>
      <w:r>
        <w:rPr>
          <w:rFonts w:hint="eastAsia"/>
        </w:rPr>
        <w:t>评价的主要内容：项目决策情况、项目过程情况、项目产出情况、项目效益情况四个方面。</w:t>
      </w:r>
    </w:p>
    <w:p>
      <w:pPr>
        <w:pStyle w:val="4"/>
        <w:spacing w:before="120"/>
        <w:ind w:firstLine="562"/>
      </w:pPr>
      <w:r>
        <w:rPr>
          <w:rFonts w:hint="eastAsia"/>
        </w:rPr>
        <w:t>（二）评价原则、依据及方法</w:t>
      </w:r>
      <w:bookmarkEnd w:id="14"/>
    </w:p>
    <w:p>
      <w:pPr>
        <w:pStyle w:val="5"/>
        <w:spacing w:before="120"/>
        <w:ind w:firstLine="562"/>
      </w:pPr>
      <w:r>
        <w:t>1</w:t>
      </w:r>
      <w:r>
        <w:rPr>
          <w:rFonts w:hint="eastAsia"/>
        </w:rPr>
        <w:t>.评价原则</w:t>
      </w:r>
    </w:p>
    <w:p>
      <w:pPr>
        <w:ind w:firstLine="560"/>
      </w:pPr>
      <w:r>
        <w:rPr>
          <w:rFonts w:hint="eastAsia"/>
        </w:rPr>
        <w:t>对于局机关及医保经办服务大厅运行项目经费</w:t>
      </w:r>
      <w:r>
        <w:rPr>
          <w:rFonts w:hint="eastAsia"/>
          <w:lang w:val="en-US"/>
        </w:rPr>
        <w:t>项目</w:t>
      </w:r>
      <w:r>
        <w:rPr>
          <w:rFonts w:hint="eastAsia"/>
        </w:rPr>
        <w:t>，根据绩效评价的基本原则，坚持公平、公正、公开的原则，坚持综合绩效评价的原则，坚持定量分析与定性分析的原则，坚持绩效评价与项目支出管理相结合的原则，坚持绩效评价贯穿于事前、事中、事后的原则，以专业的指标分析，对项目做出有理可循，有据可依的评价和建议。</w:t>
      </w:r>
    </w:p>
    <w:p>
      <w:pPr>
        <w:pStyle w:val="5"/>
        <w:spacing w:before="120"/>
        <w:ind w:firstLine="562"/>
      </w:pPr>
      <w:r>
        <w:rPr>
          <w:rFonts w:hint="eastAsia"/>
        </w:rPr>
        <w:t>2.评价依据</w:t>
      </w:r>
    </w:p>
    <w:p>
      <w:pPr>
        <w:ind w:firstLine="562"/>
        <w:rPr>
          <w:b/>
          <w:bCs/>
        </w:rPr>
      </w:pPr>
      <w:r>
        <w:rPr>
          <w:rFonts w:hint="eastAsia"/>
          <w:b/>
          <w:bCs/>
          <w:lang w:val="en-US"/>
        </w:rPr>
        <w:t>（1）</w:t>
      </w:r>
      <w:r>
        <w:rPr>
          <w:b/>
          <w:bCs/>
        </w:rPr>
        <w:t>绩效评价相关政策及要求</w:t>
      </w:r>
    </w:p>
    <w:p>
      <w:pPr>
        <w:ind w:firstLine="560"/>
      </w:pPr>
      <w:r>
        <w:t>在评价中依据的绩效管理的相关政策文件依据包含但不限于</w:t>
      </w:r>
      <w:r>
        <w:rPr>
          <w:rFonts w:hint="eastAsia"/>
        </w:rPr>
        <w:t>：</w:t>
      </w:r>
    </w:p>
    <w:p>
      <w:pPr>
        <w:ind w:firstLine="560"/>
      </w:pPr>
      <w:r>
        <w:rPr>
          <w:rFonts w:hint="eastAsia"/>
        </w:rPr>
        <w:t>①</w:t>
      </w:r>
      <w:r>
        <w:t>《中华人民共和国预算法》</w:t>
      </w:r>
      <w:r>
        <w:rPr>
          <w:rFonts w:hint="eastAsia"/>
        </w:rPr>
        <w:t>；</w:t>
      </w:r>
    </w:p>
    <w:p>
      <w:pPr>
        <w:ind w:firstLine="560"/>
      </w:pPr>
      <w:r>
        <w:rPr>
          <w:rFonts w:hint="eastAsia"/>
        </w:rPr>
        <w:t>②</w:t>
      </w:r>
      <w:r>
        <w:t>《中共中央、国务院关于全面实施预算绩效管理的意见》（中发〔2018〕34号）</w:t>
      </w:r>
      <w:r>
        <w:rPr>
          <w:rFonts w:hint="eastAsia"/>
        </w:rPr>
        <w:t>；</w:t>
      </w:r>
    </w:p>
    <w:p>
      <w:pPr>
        <w:ind w:firstLine="560"/>
      </w:pPr>
      <w:r>
        <w:rPr>
          <w:rFonts w:hint="eastAsia"/>
        </w:rPr>
        <w:t>③</w:t>
      </w:r>
      <w:r>
        <w:t>《项目支出绩效评价管理办法》（财预</w:t>
      </w:r>
      <w:r>
        <w:rPr>
          <w:rFonts w:hint="eastAsia"/>
        </w:rPr>
        <w:t>〔</w:t>
      </w:r>
      <w:r>
        <w:t>2020</w:t>
      </w:r>
      <w:r>
        <w:rPr>
          <w:rFonts w:hint="eastAsia"/>
        </w:rPr>
        <w:t>〕</w:t>
      </w:r>
      <w:r>
        <w:t>10号）</w:t>
      </w:r>
      <w:r>
        <w:rPr>
          <w:rFonts w:hint="eastAsia"/>
        </w:rPr>
        <w:t>；</w:t>
      </w:r>
    </w:p>
    <w:p>
      <w:pPr>
        <w:ind w:firstLine="560"/>
      </w:pPr>
      <w:r>
        <w:rPr>
          <w:rFonts w:hint="eastAsia"/>
        </w:rPr>
        <w:t>④</w:t>
      </w:r>
      <w:r>
        <w:t>《中共河北省委河北省人民政府关于全面实施预算绩效管理的实施意见》（冀发</w:t>
      </w:r>
      <w:r>
        <w:rPr>
          <w:rFonts w:hint="eastAsia"/>
        </w:rPr>
        <w:t>〔</w:t>
      </w:r>
      <w:r>
        <w:t>2018</w:t>
      </w:r>
      <w:r>
        <w:rPr>
          <w:rFonts w:hint="eastAsia"/>
        </w:rPr>
        <w:t>〕</w:t>
      </w:r>
      <w:r>
        <w:t>54号）</w:t>
      </w:r>
      <w:r>
        <w:rPr>
          <w:rFonts w:hint="eastAsia"/>
        </w:rPr>
        <w:t>；</w:t>
      </w:r>
    </w:p>
    <w:p>
      <w:pPr>
        <w:ind w:firstLine="560"/>
      </w:pPr>
      <w:r>
        <w:rPr>
          <w:rFonts w:hint="eastAsia"/>
        </w:rPr>
        <w:t>⑤</w:t>
      </w:r>
      <w:r>
        <w:t>河北省财政厅《全面实施预算绩效管理推进工作方案》（冀财预</w:t>
      </w:r>
      <w:r>
        <w:rPr>
          <w:rFonts w:hint="eastAsia"/>
        </w:rPr>
        <w:t>〔</w:t>
      </w:r>
      <w:r>
        <w:t>2019</w:t>
      </w:r>
      <w:r>
        <w:rPr>
          <w:rFonts w:hint="eastAsia"/>
        </w:rPr>
        <w:t>〕</w:t>
      </w:r>
      <w:r>
        <w:t>21号）</w:t>
      </w:r>
      <w:r>
        <w:rPr>
          <w:rFonts w:hint="eastAsia"/>
        </w:rPr>
        <w:t>；</w:t>
      </w:r>
    </w:p>
    <w:p>
      <w:pPr>
        <w:ind w:firstLine="560"/>
      </w:pPr>
      <w:r>
        <w:rPr>
          <w:rFonts w:hint="eastAsia"/>
        </w:rPr>
        <w:t>⑥《预算绩效管理推进工作方案》（承财绩〔2019〕2号）；</w:t>
      </w:r>
    </w:p>
    <w:p>
      <w:pPr>
        <w:ind w:firstLine="560"/>
      </w:pPr>
      <w:r>
        <w:rPr>
          <w:rFonts w:hint="eastAsia"/>
          <w:lang w:val="en-US"/>
        </w:rPr>
        <w:t>⑦</w:t>
      </w:r>
      <w:r>
        <w:rPr>
          <w:rFonts w:hint="eastAsia"/>
        </w:rPr>
        <w:t>承发〔2019〕9号《关于全面实施预算绩效管理的实施意见》；</w:t>
      </w:r>
    </w:p>
    <w:p>
      <w:pPr>
        <w:ind w:firstLine="560"/>
      </w:pPr>
      <w:r>
        <w:rPr>
          <w:rFonts w:hint="eastAsia"/>
          <w:lang w:val="en-US"/>
        </w:rPr>
        <w:t>⑧</w:t>
      </w:r>
      <w:r>
        <w:rPr>
          <w:rFonts w:hint="eastAsia"/>
        </w:rPr>
        <w:t>《预算绩效管理推进工作方案》（承财绩〔2019〕2号）；</w:t>
      </w:r>
    </w:p>
    <w:p>
      <w:pPr>
        <w:ind w:firstLine="560"/>
      </w:pPr>
      <w:r>
        <w:rPr>
          <w:rFonts w:hint="eastAsia"/>
          <w:lang w:val="en-US"/>
        </w:rPr>
        <w:t>⑨</w:t>
      </w:r>
      <w:r>
        <w:rPr>
          <w:rFonts w:hint="eastAsia"/>
        </w:rPr>
        <w:t>承德市财政局关于印发《承德市市级预算绩效重点评价管理办法》的通知（承财绩〔2020〕2号）；</w:t>
      </w:r>
    </w:p>
    <w:p>
      <w:pPr>
        <w:ind w:firstLine="562"/>
        <w:rPr>
          <w:b/>
          <w:bCs/>
        </w:rPr>
      </w:pPr>
      <w:r>
        <w:rPr>
          <w:rFonts w:hint="eastAsia"/>
          <w:b/>
          <w:bCs/>
          <w:lang w:val="en-US"/>
        </w:rPr>
        <w:t>（2）项目</w:t>
      </w:r>
      <w:r>
        <w:rPr>
          <w:b/>
          <w:bCs/>
        </w:rPr>
        <w:t>相关工作计划、工作汇报等</w:t>
      </w:r>
    </w:p>
    <w:p>
      <w:pPr>
        <w:ind w:firstLine="560"/>
      </w:pPr>
      <w:r>
        <w:t>在评价中依据的关工作计划、工作汇报包含但不限于</w:t>
      </w:r>
      <w:r>
        <w:rPr>
          <w:rFonts w:hint="eastAsia"/>
        </w:rPr>
        <w:t>：</w:t>
      </w:r>
    </w:p>
    <w:p>
      <w:pPr>
        <w:ind w:firstLine="560"/>
      </w:pPr>
      <w:r>
        <w:rPr>
          <w:rFonts w:hint="eastAsia"/>
        </w:rPr>
        <w:t>①</w:t>
      </w:r>
      <w:r>
        <w:t>预算部门职能职责、工作计划；</w:t>
      </w:r>
    </w:p>
    <w:p>
      <w:pPr>
        <w:ind w:firstLine="560"/>
      </w:pPr>
      <w:r>
        <w:rPr>
          <w:rFonts w:hint="eastAsia"/>
        </w:rPr>
        <w:t>②</w:t>
      </w:r>
      <w:r>
        <w:rPr>
          <w:rFonts w:hint="eastAsia"/>
          <w:lang w:val="en-US" w:eastAsia="zh-CN"/>
        </w:rPr>
        <w:t>医保经办服务大厅运行经费安排计划</w:t>
      </w:r>
      <w:r>
        <w:t>；</w:t>
      </w:r>
    </w:p>
    <w:p>
      <w:pPr>
        <w:ind w:firstLine="560"/>
        <w:rPr>
          <w:rFonts w:hint="eastAsia" w:eastAsia="仿宋_GB2312"/>
          <w:lang w:eastAsia="zh-CN"/>
        </w:rPr>
      </w:pPr>
      <w:r>
        <w:rPr>
          <w:rFonts w:hint="eastAsia"/>
        </w:rPr>
        <w:t>③</w:t>
      </w:r>
      <w:r>
        <w:t>项目绩效目标申报表、项目工作进展汇报等相关材料</w:t>
      </w:r>
      <w:r>
        <w:rPr>
          <w:rFonts w:hint="eastAsia"/>
          <w:lang w:eastAsia="zh-CN"/>
        </w:rPr>
        <w:t>；</w:t>
      </w:r>
    </w:p>
    <w:p>
      <w:pPr>
        <w:ind w:firstLine="560"/>
      </w:pPr>
      <w:r>
        <w:rPr>
          <w:rFonts w:hint="eastAsia"/>
        </w:rPr>
        <w:t>④</w:t>
      </w:r>
      <w:r>
        <w:t>预算管理制度、资金及财务管理办法、财务会计资料；</w:t>
      </w:r>
    </w:p>
    <w:p>
      <w:pPr>
        <w:ind w:firstLine="560"/>
      </w:pPr>
      <w:r>
        <w:rPr>
          <w:rFonts w:hint="eastAsia"/>
        </w:rPr>
        <w:t>⑤</w:t>
      </w:r>
      <w:r>
        <w:t>项目工作总结等相关资料；</w:t>
      </w:r>
    </w:p>
    <w:p>
      <w:pPr>
        <w:ind w:firstLine="560"/>
      </w:pPr>
      <w:r>
        <w:rPr>
          <w:rFonts w:hint="eastAsia"/>
        </w:rPr>
        <w:t>⑥</w:t>
      </w:r>
      <w:r>
        <w:t>项目成果及其他相关资料。</w:t>
      </w:r>
    </w:p>
    <w:p>
      <w:pPr>
        <w:pStyle w:val="5"/>
        <w:spacing w:before="120"/>
        <w:ind w:firstLine="562"/>
      </w:pPr>
      <w:bookmarkStart w:id="15" w:name="_Toc45292265"/>
      <w:r>
        <w:t>3</w:t>
      </w:r>
      <w:r>
        <w:rPr>
          <w:rFonts w:hint="eastAsia"/>
        </w:rPr>
        <w:t>.评价方法</w:t>
      </w:r>
    </w:p>
    <w:p>
      <w:pPr>
        <w:ind w:firstLine="560"/>
      </w:pPr>
      <w:r>
        <w:rPr>
          <w:rFonts w:hint="eastAsia"/>
        </w:rPr>
        <w:t>本次绩效评价属于项目完成结果评价，主要采用成本效益法和因素分析法等绩效评价方法；对项目采取现场评价的方式进行评价，进行现场勘察、综合评判。</w:t>
      </w:r>
      <w:r>
        <w:rPr>
          <w:rFonts w:hint="eastAsia"/>
          <w:lang w:eastAsia="zh-CN"/>
        </w:rPr>
        <w:t>根据实际情况与年度绩效目标设定了绩效评价指标体系</w:t>
      </w:r>
      <w:r>
        <w:rPr>
          <w:rFonts w:hint="eastAsia"/>
        </w:rPr>
        <w:t>，对照项目绩效评价指标进行总体评价，出具综合评价意见。</w:t>
      </w:r>
    </w:p>
    <w:p>
      <w:pPr>
        <w:pStyle w:val="4"/>
        <w:spacing w:before="120"/>
        <w:ind w:firstLine="562"/>
      </w:pPr>
      <w:r>
        <w:rPr>
          <w:rFonts w:hint="eastAsia"/>
        </w:rPr>
        <w:t>（三）评价指标体系及评价标准说明</w:t>
      </w:r>
      <w:bookmarkEnd w:id="15"/>
    </w:p>
    <w:p>
      <w:pPr>
        <w:pStyle w:val="5"/>
        <w:spacing w:before="120"/>
        <w:ind w:firstLine="562"/>
      </w:pPr>
      <w:r>
        <w:rPr>
          <w:rFonts w:hint="eastAsia"/>
        </w:rPr>
        <w:t>1.评价指标及指标体系</w:t>
      </w:r>
    </w:p>
    <w:p>
      <w:pPr>
        <w:ind w:firstLine="560"/>
      </w:pPr>
      <w:r>
        <w:rPr>
          <w:rFonts w:hint="eastAsia"/>
        </w:rPr>
        <w:t>本次绩效评价指标设计以</w:t>
      </w:r>
      <w:r>
        <w:rPr>
          <w:rFonts w:hint="eastAsia"/>
          <w:lang w:eastAsia="zh-CN"/>
        </w:rPr>
        <w:t>“</w:t>
      </w:r>
      <w:r>
        <w:rPr>
          <w:rFonts w:hint="eastAsia"/>
        </w:rPr>
        <w:t>医保经办服务大厅运行项目经费</w:t>
      </w:r>
      <w:r>
        <w:rPr>
          <w:rFonts w:hint="eastAsia"/>
          <w:lang w:eastAsia="zh-CN"/>
        </w:rPr>
        <w:t>”</w:t>
      </w:r>
      <w:r>
        <w:rPr>
          <w:rFonts w:hint="eastAsia"/>
        </w:rPr>
        <w:t>为着眼点，依据国家、承德市对该项目的定位和要求，依托财政部绩效评价指标体系，在分析政策文件材料的基础上，结合预算和资金使用、管理机制、职责内涵等因素，按照项目内在逻辑性和以结果为导向的原则性，构建了项目</w:t>
      </w:r>
      <w:r>
        <w:rPr>
          <w:rFonts w:hint="eastAsia"/>
          <w:lang w:eastAsia="zh-CN"/>
        </w:rPr>
        <w:t>决策</w:t>
      </w:r>
      <w:r>
        <w:rPr>
          <w:rFonts w:hint="eastAsia"/>
        </w:rPr>
        <w:t>、项目</w:t>
      </w:r>
      <w:r>
        <w:rPr>
          <w:rFonts w:hint="eastAsia"/>
          <w:lang w:eastAsia="zh-CN"/>
        </w:rPr>
        <w:t>过程</w:t>
      </w:r>
      <w:r>
        <w:rPr>
          <w:rFonts w:hint="eastAsia"/>
        </w:rPr>
        <w:t>、项目产出及项目效果的绩效评价指标框架。详见表</w:t>
      </w:r>
      <w:r>
        <w:rPr>
          <w:rFonts w:hint="eastAsia"/>
          <w:lang w:eastAsia="zh-CN"/>
        </w:rPr>
        <w:t>附件</w:t>
      </w:r>
      <w:r>
        <w:rPr>
          <w:rFonts w:hint="eastAsia"/>
        </w:rPr>
        <w:t>1。</w:t>
      </w:r>
    </w:p>
    <w:p>
      <w:pPr>
        <w:ind w:firstLine="560"/>
      </w:pPr>
      <w:r>
        <w:rPr>
          <w:rFonts w:hint="eastAsia"/>
        </w:rPr>
        <w:t>项目</w:t>
      </w:r>
      <w:r>
        <w:rPr>
          <w:rFonts w:hint="eastAsia"/>
          <w:lang w:eastAsia="zh-CN"/>
        </w:rPr>
        <w:t>决策</w:t>
      </w:r>
      <w:r>
        <w:rPr>
          <w:rFonts w:hint="eastAsia"/>
        </w:rPr>
        <w:t>是考核项目的逻辑起点是否准确，本次评价将从立项情况、绩效目标情况和资金投入三方面来考核项目实施的先决条件是否完善。</w:t>
      </w:r>
    </w:p>
    <w:p>
      <w:pPr>
        <w:ind w:firstLine="560"/>
      </w:pPr>
      <w:r>
        <w:rPr>
          <w:rFonts w:hint="eastAsia"/>
        </w:rPr>
        <w:t>项目过程需要组织管理和制度建设来保障实施，缺一不可，因此，在指标体系设置中按照业务管理和资金管理进行分类。</w:t>
      </w:r>
    </w:p>
    <w:p>
      <w:pPr>
        <w:ind w:firstLine="560"/>
      </w:pPr>
      <w:r>
        <w:rPr>
          <w:rFonts w:hint="eastAsia"/>
        </w:rPr>
        <w:t>项目产出涵盖数量、质量、时效和成本，指标设置由此展开。</w:t>
      </w:r>
    </w:p>
    <w:p>
      <w:pPr>
        <w:ind w:firstLine="560"/>
      </w:pPr>
      <w:r>
        <w:rPr>
          <w:rFonts w:hint="eastAsia"/>
        </w:rPr>
        <w:t>项目效果主要是从经济效益、社会效益、生态效益、可持续发展与社会公众满意度等方面进行量化设计。</w:t>
      </w:r>
    </w:p>
    <w:p>
      <w:pPr>
        <w:pStyle w:val="5"/>
        <w:spacing w:before="120"/>
        <w:ind w:firstLine="562"/>
      </w:pPr>
      <w:r>
        <w:rPr>
          <w:rFonts w:hint="eastAsia"/>
        </w:rPr>
        <w:t>2</w:t>
      </w:r>
      <w:r>
        <w:t>.</w:t>
      </w:r>
      <w:r>
        <w:rPr>
          <w:rFonts w:hint="eastAsia"/>
        </w:rPr>
        <w:t>综合绩效级次评定标准</w:t>
      </w:r>
    </w:p>
    <w:p>
      <w:pPr>
        <w:ind w:firstLine="560"/>
        <w:rPr>
          <w:lang w:val="en-US"/>
        </w:rPr>
      </w:pPr>
      <w:r>
        <w:rPr>
          <w:rFonts w:hint="eastAsia"/>
          <w:lang w:val="en-US"/>
        </w:rPr>
        <w:t>本次绩效评价综合绩效级别依据《项目支出绩效评价管理办法》（财预〔2020〕10号）文件确定，绩效评价结果采取评分和评级相结合的方式，总分设置为100分，等级划分为四档：</w:t>
      </w:r>
    </w:p>
    <w:p>
      <w:pPr>
        <w:ind w:firstLine="560"/>
        <w:rPr>
          <w:lang w:val="en-US"/>
        </w:rPr>
      </w:pPr>
      <w:r>
        <w:rPr>
          <w:rFonts w:hint="eastAsia"/>
          <w:lang w:val="en-US"/>
        </w:rPr>
        <w:t>综合得分在90-100分（含90分）为优；</w:t>
      </w:r>
    </w:p>
    <w:p>
      <w:pPr>
        <w:ind w:firstLine="560"/>
        <w:rPr>
          <w:lang w:val="en-US"/>
        </w:rPr>
      </w:pPr>
      <w:r>
        <w:rPr>
          <w:rFonts w:hint="eastAsia"/>
          <w:lang w:val="en-US"/>
        </w:rPr>
        <w:t>综合得分在80—89分（含80分）为良；</w:t>
      </w:r>
    </w:p>
    <w:p>
      <w:pPr>
        <w:ind w:firstLine="560"/>
        <w:rPr>
          <w:lang w:val="en-US"/>
        </w:rPr>
      </w:pPr>
      <w:r>
        <w:rPr>
          <w:rFonts w:hint="eastAsia"/>
          <w:lang w:val="en-US"/>
        </w:rPr>
        <w:t>综合得分在60-79分（含60分）为中；</w:t>
      </w:r>
    </w:p>
    <w:p>
      <w:pPr>
        <w:ind w:firstLine="560"/>
        <w:rPr>
          <w:lang w:val="en-US"/>
        </w:rPr>
      </w:pPr>
      <w:r>
        <w:rPr>
          <w:rFonts w:hint="eastAsia"/>
          <w:lang w:val="en-US"/>
        </w:rPr>
        <w:t>综合得分在60分以下为差。</w:t>
      </w:r>
    </w:p>
    <w:p>
      <w:pPr>
        <w:pStyle w:val="4"/>
        <w:spacing w:before="120"/>
        <w:ind w:firstLine="562"/>
      </w:pPr>
      <w:bookmarkStart w:id="16" w:name="_Toc45292266"/>
      <w:r>
        <w:rPr>
          <w:rFonts w:hint="eastAsia"/>
        </w:rPr>
        <w:t>（四）评价工作过程</w:t>
      </w:r>
      <w:bookmarkEnd w:id="16"/>
    </w:p>
    <w:p>
      <w:pPr>
        <w:pStyle w:val="5"/>
        <w:spacing w:before="120"/>
        <w:ind w:firstLine="562"/>
      </w:pPr>
      <w:r>
        <w:rPr>
          <w:rFonts w:hint="eastAsia"/>
        </w:rPr>
        <w:t>1.前期准备</w:t>
      </w:r>
    </w:p>
    <w:p>
      <w:pPr>
        <w:ind w:firstLine="560"/>
        <w:rPr>
          <w:lang w:val="en-US"/>
        </w:rPr>
      </w:pPr>
      <w:r>
        <w:rPr>
          <w:rFonts w:hint="eastAsia"/>
          <w:lang w:val="en-US"/>
        </w:rPr>
        <w:t>前期准备时间为202</w:t>
      </w:r>
      <w:r>
        <w:rPr>
          <w:rFonts w:hint="eastAsia"/>
          <w:lang w:val="en-US" w:eastAsia="zh-CN"/>
        </w:rPr>
        <w:t>2</w:t>
      </w:r>
      <w:r>
        <w:rPr>
          <w:rFonts w:hint="eastAsia"/>
          <w:lang w:val="en-US"/>
        </w:rPr>
        <w:t>年</w:t>
      </w:r>
      <w:r>
        <w:rPr>
          <w:rFonts w:hint="eastAsia"/>
          <w:lang w:val="en-US" w:eastAsia="zh-CN"/>
        </w:rPr>
        <w:t>6</w:t>
      </w:r>
      <w:r>
        <w:rPr>
          <w:rFonts w:hint="eastAsia"/>
          <w:lang w:val="en-US"/>
        </w:rPr>
        <w:t>月</w:t>
      </w:r>
      <w:r>
        <w:rPr>
          <w:rFonts w:hint="eastAsia"/>
          <w:lang w:val="en-US" w:eastAsia="zh-CN"/>
        </w:rPr>
        <w:t>28</w:t>
      </w:r>
      <w:r>
        <w:rPr>
          <w:rFonts w:hint="eastAsia"/>
          <w:lang w:val="en-US"/>
        </w:rPr>
        <w:t>日-</w:t>
      </w:r>
      <w:r>
        <w:rPr>
          <w:rFonts w:hint="eastAsia"/>
          <w:lang w:val="en-US" w:eastAsia="zh-CN"/>
        </w:rPr>
        <w:t>7</w:t>
      </w:r>
      <w:r>
        <w:rPr>
          <w:rFonts w:hint="eastAsia"/>
          <w:lang w:val="en-US"/>
        </w:rPr>
        <w:t>月</w:t>
      </w:r>
      <w:r>
        <w:rPr>
          <w:rFonts w:hint="eastAsia"/>
          <w:lang w:val="en-US" w:eastAsia="zh-CN"/>
        </w:rPr>
        <w:t>13</w:t>
      </w:r>
      <w:r>
        <w:rPr>
          <w:rFonts w:hint="eastAsia"/>
          <w:lang w:val="en-US"/>
        </w:rPr>
        <w:t>日，具体内容如下：</w:t>
      </w:r>
    </w:p>
    <w:p>
      <w:pPr>
        <w:ind w:firstLine="560"/>
        <w:rPr>
          <w:lang w:val="en-US"/>
        </w:rPr>
      </w:pPr>
      <w:r>
        <w:rPr>
          <w:rFonts w:hint="eastAsia"/>
          <w:lang w:val="en-US"/>
        </w:rPr>
        <w:t>（1）成立评价小组，明确评价对象、评价范围、评价流程以及评价方法，并对</w:t>
      </w:r>
      <w:r>
        <w:rPr>
          <w:rFonts w:hint="eastAsia"/>
          <w:lang w:val="en-US" w:eastAsia="zh-CN"/>
        </w:rPr>
        <w:t>评价小</w:t>
      </w:r>
      <w:r>
        <w:rPr>
          <w:rFonts w:hint="eastAsia"/>
          <w:lang w:val="en-US"/>
        </w:rPr>
        <w:t>组人员进行业务培训，统一评价思路和方法，落实评价任务。</w:t>
      </w:r>
    </w:p>
    <w:p>
      <w:pPr>
        <w:ind w:firstLine="560"/>
        <w:rPr>
          <w:b/>
          <w:bCs/>
          <w:lang w:val="en-US"/>
        </w:rPr>
      </w:pPr>
      <w:r>
        <w:rPr>
          <w:rFonts w:hint="eastAsia"/>
          <w:lang w:val="en-US"/>
        </w:rPr>
        <w:t>（2）</w:t>
      </w:r>
      <w:r>
        <w:rPr>
          <w:rFonts w:hint="eastAsia"/>
        </w:rPr>
        <w:t>了解项目基本情况，研读项目材料，设计绩效评价指标，编制评价方案，向项目负责人提交评价方案，并根据方案意见进行修订。</w:t>
      </w:r>
    </w:p>
    <w:p>
      <w:pPr>
        <w:pStyle w:val="5"/>
        <w:spacing w:before="120"/>
        <w:ind w:firstLine="562"/>
      </w:pPr>
      <w:r>
        <w:rPr>
          <w:rFonts w:hint="eastAsia"/>
        </w:rPr>
        <w:t>2.组织实施</w:t>
      </w:r>
    </w:p>
    <w:p>
      <w:pPr>
        <w:ind w:firstLine="548"/>
        <w:rPr>
          <w:rFonts w:hint="eastAsia"/>
          <w:spacing w:val="-6"/>
        </w:rPr>
      </w:pPr>
      <w:r>
        <w:rPr>
          <w:rFonts w:hint="eastAsia"/>
          <w:spacing w:val="-6"/>
        </w:rPr>
        <w:t>项目实施时间为202</w:t>
      </w:r>
      <w:r>
        <w:rPr>
          <w:rFonts w:hint="eastAsia"/>
          <w:spacing w:val="-6"/>
          <w:lang w:val="en-US" w:eastAsia="zh-CN"/>
        </w:rPr>
        <w:t>2</w:t>
      </w:r>
      <w:r>
        <w:rPr>
          <w:rFonts w:hint="eastAsia"/>
          <w:spacing w:val="-6"/>
        </w:rPr>
        <w:t>年</w:t>
      </w:r>
      <w:r>
        <w:rPr>
          <w:rFonts w:hint="eastAsia"/>
          <w:spacing w:val="-6"/>
          <w:lang w:val="en-US" w:eastAsia="zh-CN"/>
        </w:rPr>
        <w:t>7</w:t>
      </w:r>
      <w:r>
        <w:rPr>
          <w:rFonts w:hint="eastAsia"/>
          <w:spacing w:val="-6"/>
        </w:rPr>
        <w:t>月</w:t>
      </w:r>
      <w:r>
        <w:rPr>
          <w:rFonts w:hint="eastAsia"/>
          <w:spacing w:val="-6"/>
          <w:lang w:val="en-US" w:eastAsia="zh-CN"/>
        </w:rPr>
        <w:t>14</w:t>
      </w:r>
      <w:r>
        <w:rPr>
          <w:rFonts w:hint="eastAsia"/>
          <w:spacing w:val="-6"/>
        </w:rPr>
        <w:t>日</w:t>
      </w:r>
      <w:r>
        <w:rPr>
          <w:rFonts w:hint="eastAsia"/>
          <w:spacing w:val="-6"/>
          <w:lang w:val="en-US" w:eastAsia="zh-CN"/>
        </w:rPr>
        <w:t>-7</w:t>
      </w:r>
      <w:r>
        <w:rPr>
          <w:rFonts w:hint="eastAsia"/>
          <w:spacing w:val="-6"/>
        </w:rPr>
        <w:t>月</w:t>
      </w:r>
      <w:r>
        <w:rPr>
          <w:rFonts w:hint="eastAsia"/>
          <w:spacing w:val="-6"/>
          <w:lang w:val="en-US" w:eastAsia="zh-CN"/>
        </w:rPr>
        <w:t>20</w:t>
      </w:r>
      <w:r>
        <w:rPr>
          <w:rFonts w:hint="eastAsia"/>
          <w:spacing w:val="-6"/>
        </w:rPr>
        <w:t>日，具体内容如下：</w:t>
      </w:r>
    </w:p>
    <w:p>
      <w:pPr>
        <w:ind w:firstLine="560"/>
      </w:pPr>
      <w:r>
        <w:rPr>
          <w:rFonts w:hint="eastAsia"/>
        </w:rPr>
        <w:t>评价小组赴项目现场进行调研。采取勘察、问询等多种方式，对了解到的项目情况进行核实，并对所掌握的有关信息资料进行分类、整理和初步分析，形成评价意见。</w:t>
      </w:r>
    </w:p>
    <w:p>
      <w:pPr>
        <w:pStyle w:val="5"/>
        <w:spacing w:before="120"/>
        <w:ind w:firstLine="562"/>
        <w:rPr>
          <w:rFonts w:hint="eastAsia"/>
          <w:lang w:val="en-US" w:eastAsia="zh-CN"/>
        </w:rPr>
      </w:pPr>
      <w:r>
        <w:rPr>
          <w:rFonts w:hint="eastAsia"/>
          <w:lang w:val="en-US"/>
        </w:rPr>
        <w:t>3.</w:t>
      </w:r>
      <w:r>
        <w:rPr>
          <w:rFonts w:hint="eastAsia"/>
          <w:lang w:val="en-US" w:eastAsia="zh-CN"/>
        </w:rPr>
        <w:t>报告撰写</w:t>
      </w:r>
    </w:p>
    <w:p>
      <w:pPr>
        <w:rPr>
          <w:rFonts w:hint="eastAsia"/>
          <w:lang w:val="en-US" w:eastAsia="zh-CN"/>
        </w:rPr>
      </w:pPr>
      <w:r>
        <w:rPr>
          <w:rFonts w:hint="eastAsia"/>
          <w:lang w:val="en-US" w:eastAsia="zh-CN"/>
        </w:rPr>
        <w:t>项目实施时间为2022年7月21日-7月26日，具体内容如下：</w:t>
      </w:r>
    </w:p>
    <w:p>
      <w:pPr>
        <w:ind w:firstLine="560"/>
        <w:rPr>
          <w:rFonts w:hint="eastAsia"/>
        </w:rPr>
      </w:pPr>
      <w:r>
        <w:t>评价</w:t>
      </w:r>
      <w:r>
        <w:rPr>
          <w:rFonts w:hint="eastAsia"/>
        </w:rPr>
        <w:t>小组</w:t>
      </w:r>
      <w:r>
        <w:t>根据整理后的数据和已确定的评价指标，针对项目实施必要性、项目实施可行性、项目绩效目标实现情况、财政支持范围方式、项目预算编制等方面进行重点分析。在数据分析过程中，广泛运用各种数据分析工具，完成指标评分、绩效分析、工作底稿、评分结果综合提炼等步骤，形成</w:t>
      </w:r>
      <w:r>
        <w:rPr>
          <w:rFonts w:hint="eastAsia"/>
        </w:rPr>
        <w:t>绩效评价报告。</w:t>
      </w:r>
      <w:bookmarkStart w:id="17" w:name="_Toc17826"/>
      <w:bookmarkStart w:id="18" w:name="_Toc45292267"/>
    </w:p>
    <w:p>
      <w:pPr>
        <w:pStyle w:val="3"/>
        <w:bidi w:val="0"/>
      </w:pPr>
      <w:r>
        <w:rPr>
          <w:rFonts w:hint="eastAsia"/>
        </w:rPr>
        <w:t>三、</w:t>
      </w:r>
      <w:bookmarkEnd w:id="17"/>
      <w:r>
        <w:rPr>
          <w:rFonts w:hint="eastAsia"/>
        </w:rPr>
        <w:t>综合评价情况及评价结论</w:t>
      </w:r>
      <w:bookmarkEnd w:id="18"/>
    </w:p>
    <w:p>
      <w:pPr>
        <w:topLinePunct w:val="0"/>
        <w:spacing w:afterLines="50"/>
        <w:ind w:firstLine="560"/>
        <w:rPr>
          <w:rFonts w:eastAsia="宋体" w:cs="Times New Roman"/>
          <w:b/>
          <w:bCs/>
          <w:color w:val="000000"/>
          <w:sz w:val="24"/>
          <w:szCs w:val="24"/>
          <w:lang w:val="en-US"/>
        </w:rPr>
      </w:pPr>
      <w:bookmarkStart w:id="19" w:name="_Toc28313"/>
      <w:r>
        <w:rPr>
          <w:rFonts w:hint="eastAsia"/>
          <w:lang w:eastAsia="zh-CN"/>
        </w:rPr>
        <w:t>我局“局机关及医保经办服务大厅运行项目经费”</w:t>
      </w:r>
      <w:r>
        <w:t>依据项目支出绩效评价指标体系</w:t>
      </w:r>
      <w:r>
        <w:rPr>
          <w:rFonts w:hint="eastAsia"/>
          <w:lang w:eastAsia="zh-CN"/>
        </w:rPr>
        <w:t>，此项目</w:t>
      </w:r>
      <w:r>
        <w:t>绩效评价得分为</w:t>
      </w:r>
      <w:r>
        <w:rPr>
          <w:rFonts w:hint="eastAsia"/>
        </w:rPr>
        <w:t>9</w:t>
      </w:r>
      <w:r>
        <w:rPr>
          <w:rFonts w:hint="eastAsia"/>
          <w:lang w:val="en-US" w:eastAsia="zh-CN"/>
        </w:rPr>
        <w:t>2</w:t>
      </w:r>
      <w:r>
        <w:t>分，绩效等级为“</w:t>
      </w:r>
      <w:r>
        <w:rPr>
          <w:rFonts w:hint="eastAsia"/>
        </w:rPr>
        <w:t>优</w:t>
      </w:r>
      <w:r>
        <w:t>”（具体评价得分情况详见表3-1）</w:t>
      </w:r>
      <w:r>
        <w:rPr>
          <w:rFonts w:hint="eastAsia"/>
        </w:rPr>
        <w:t>：</w:t>
      </w:r>
    </w:p>
    <w:p>
      <w:pPr>
        <w:topLinePunct w:val="0"/>
        <w:spacing w:beforeLines="50"/>
        <w:ind w:firstLine="0" w:firstLineChars="0"/>
        <w:jc w:val="center"/>
        <w:rPr>
          <w:rFonts w:cs="Times New Roman"/>
          <w:b/>
          <w:bCs/>
          <w:color w:val="000000"/>
          <w:sz w:val="24"/>
          <w:szCs w:val="24"/>
          <w:lang w:val="en-US"/>
        </w:rPr>
      </w:pPr>
      <w:r>
        <w:rPr>
          <w:rFonts w:eastAsia="宋体" w:cs="Times New Roman"/>
          <w:b/>
          <w:bCs/>
          <w:color w:val="000000"/>
          <w:sz w:val="24"/>
          <w:szCs w:val="24"/>
          <w:lang w:val="en-US"/>
        </w:rPr>
        <w:t>表</w:t>
      </w:r>
      <w:r>
        <w:rPr>
          <w:rFonts w:cs="Times New Roman"/>
          <w:b/>
          <w:bCs/>
          <w:color w:val="000000"/>
          <w:sz w:val="24"/>
          <w:szCs w:val="24"/>
          <w:lang w:val="en-US"/>
        </w:rPr>
        <w:t>3-1</w:t>
      </w:r>
      <w:r>
        <w:rPr>
          <w:rFonts w:hint="eastAsia" w:eastAsia="宋体" w:cs="Times New Roman"/>
          <w:b/>
          <w:bCs/>
          <w:color w:val="000000"/>
          <w:sz w:val="24"/>
          <w:szCs w:val="24"/>
          <w:lang w:val="en-US"/>
        </w:rPr>
        <w:t>主要指标</w:t>
      </w:r>
      <w:r>
        <w:rPr>
          <w:rFonts w:cs="Times New Roman"/>
          <w:b/>
          <w:bCs/>
          <w:color w:val="000000"/>
          <w:sz w:val="24"/>
          <w:szCs w:val="24"/>
          <w:lang w:val="en-US"/>
        </w:rPr>
        <w:t>评价得分情况</w:t>
      </w:r>
    </w:p>
    <w:tbl>
      <w:tblPr>
        <w:tblStyle w:val="18"/>
        <w:tblW w:w="5000" w:type="pct"/>
        <w:tblInd w:w="0" w:type="dxa"/>
        <w:tblLayout w:type="autofit"/>
        <w:tblCellMar>
          <w:top w:w="0" w:type="dxa"/>
          <w:left w:w="0" w:type="dxa"/>
          <w:bottom w:w="0" w:type="dxa"/>
          <w:right w:w="0" w:type="dxa"/>
        </w:tblCellMar>
      </w:tblPr>
      <w:tblGrid>
        <w:gridCol w:w="1401"/>
        <w:gridCol w:w="715"/>
        <w:gridCol w:w="715"/>
        <w:gridCol w:w="1082"/>
        <w:gridCol w:w="1735"/>
        <w:gridCol w:w="715"/>
        <w:gridCol w:w="715"/>
        <w:gridCol w:w="1250"/>
      </w:tblGrid>
      <w:tr>
        <w:tblPrEx>
          <w:tblCellMar>
            <w:top w:w="0" w:type="dxa"/>
            <w:left w:w="0" w:type="dxa"/>
            <w:bottom w:w="0" w:type="dxa"/>
            <w:right w:w="0" w:type="dxa"/>
          </w:tblCellMar>
        </w:tblPrEx>
        <w:trPr>
          <w:trHeight w:val="510" w:hRule="atLeast"/>
          <w:tblHeader/>
        </w:trPr>
        <w:tc>
          <w:tcPr>
            <w:tcW w:w="841" w:type="pct"/>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一级指标</w:t>
            </w:r>
          </w:p>
        </w:tc>
        <w:tc>
          <w:tcPr>
            <w:tcW w:w="429" w:type="pct"/>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429" w:type="pct"/>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c>
          <w:tcPr>
            <w:tcW w:w="649" w:type="pct"/>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得分率</w:t>
            </w:r>
          </w:p>
        </w:tc>
        <w:tc>
          <w:tcPr>
            <w:tcW w:w="1041" w:type="pct"/>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429" w:type="pct"/>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429" w:type="pct"/>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c>
          <w:tcPr>
            <w:tcW w:w="750" w:type="pct"/>
            <w:tcBorders>
              <w:top w:val="single" w:color="000000" w:sz="4" w:space="0"/>
              <w:left w:val="single" w:color="000000" w:sz="4" w:space="0"/>
              <w:bottom w:val="single" w:color="000000" w:sz="4" w:space="0"/>
              <w:right w:val="single" w:color="000000" w:sz="4" w:space="0"/>
            </w:tcBorders>
            <w:shd w:val="clear" w:color="auto" w:fill="99CCFF"/>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得分率</w:t>
            </w:r>
          </w:p>
        </w:tc>
      </w:tr>
      <w:tr>
        <w:tblPrEx>
          <w:tblCellMar>
            <w:top w:w="0" w:type="dxa"/>
            <w:left w:w="0" w:type="dxa"/>
            <w:bottom w:w="0" w:type="dxa"/>
            <w:right w:w="0" w:type="dxa"/>
          </w:tblCellMar>
        </w:tblPrEx>
        <w:trPr>
          <w:trHeight w:val="507" w:hRule="atLeast"/>
        </w:trPr>
        <w:tc>
          <w:tcPr>
            <w:tcW w:w="841"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决策</w:t>
            </w:r>
          </w:p>
        </w:tc>
        <w:tc>
          <w:tcPr>
            <w:tcW w:w="429"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w:t>
            </w:r>
          </w:p>
        </w:tc>
        <w:tc>
          <w:tcPr>
            <w:tcW w:w="429"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8</w:t>
            </w:r>
          </w:p>
        </w:tc>
        <w:tc>
          <w:tcPr>
            <w:tcW w:w="649"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80</w:t>
            </w:r>
            <w:r>
              <w:rPr>
                <w:rFonts w:hint="eastAsia" w:ascii="仿宋_GB2312" w:hAnsi="宋体"/>
                <w:sz w:val="24"/>
                <w:szCs w:val="24"/>
                <w:lang w:val="en-US" w:bidi="ar-SA"/>
              </w:rPr>
              <w:t>%</w:t>
            </w: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项目立项</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2</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2</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r>
      <w:tr>
        <w:tblPrEx>
          <w:tblCellMar>
            <w:top w:w="0" w:type="dxa"/>
            <w:left w:w="0" w:type="dxa"/>
            <w:bottom w:w="0" w:type="dxa"/>
            <w:right w:w="0" w:type="dxa"/>
          </w:tblCellMar>
        </w:tblPrEx>
        <w:trPr>
          <w:trHeight w:val="543" w:hRule="atLeast"/>
        </w:trPr>
        <w:tc>
          <w:tcPr>
            <w:tcW w:w="841" w:type="pct"/>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649" w:type="pct"/>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绩效目标</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2</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50</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537" w:hRule="atLeast"/>
        </w:trPr>
        <w:tc>
          <w:tcPr>
            <w:tcW w:w="841" w:type="pct"/>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649" w:type="pct"/>
            <w:vMerge w:val="continue"/>
            <w:tcBorders>
              <w:left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资金投入</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4</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559" w:hRule="atLeast"/>
        </w:trPr>
        <w:tc>
          <w:tcPr>
            <w:tcW w:w="84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过程</w:t>
            </w:r>
          </w:p>
        </w:tc>
        <w:tc>
          <w:tcPr>
            <w:tcW w:w="42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30</w:t>
            </w:r>
          </w:p>
        </w:tc>
        <w:tc>
          <w:tcPr>
            <w:tcW w:w="42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29</w:t>
            </w:r>
          </w:p>
        </w:tc>
        <w:tc>
          <w:tcPr>
            <w:tcW w:w="64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96.67</w:t>
            </w:r>
            <w:r>
              <w:rPr>
                <w:rFonts w:hint="eastAsia" w:ascii="仿宋_GB2312" w:hAnsi="宋体"/>
                <w:sz w:val="24"/>
                <w:szCs w:val="24"/>
                <w:lang w:val="en-US" w:bidi="ar-SA"/>
              </w:rPr>
              <w:t>%</w:t>
            </w: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资金管理</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15</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bidi="ar-SA"/>
              </w:rPr>
              <w:t>1</w:t>
            </w:r>
            <w:r>
              <w:rPr>
                <w:rFonts w:hint="eastAsia" w:ascii="仿宋_GB2312" w:hAnsi="宋体"/>
                <w:sz w:val="24"/>
                <w:szCs w:val="24"/>
                <w:lang w:val="en-US" w:eastAsia="zh-CN" w:bidi="ar-SA"/>
              </w:rPr>
              <w:t>5</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582" w:hRule="atLeast"/>
        </w:trPr>
        <w:tc>
          <w:tcPr>
            <w:tcW w:w="84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64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组织实施</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15</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eastAsia" w:ascii="仿宋_GB2312" w:hAnsi="宋体" w:eastAsia="仿宋_GB2312"/>
                <w:sz w:val="24"/>
                <w:szCs w:val="24"/>
                <w:lang w:val="en-US" w:eastAsia="zh-CN" w:bidi="ar-SA"/>
              </w:rPr>
            </w:pPr>
            <w:r>
              <w:rPr>
                <w:rFonts w:hint="eastAsia" w:ascii="仿宋_GB2312" w:hAnsi="宋体"/>
                <w:sz w:val="24"/>
                <w:szCs w:val="24"/>
                <w:lang w:val="en-US" w:bidi="ar-SA"/>
              </w:rPr>
              <w:t>1</w:t>
            </w:r>
            <w:r>
              <w:rPr>
                <w:rFonts w:hint="eastAsia" w:ascii="仿宋_GB2312" w:hAnsi="宋体"/>
                <w:sz w:val="24"/>
                <w:szCs w:val="24"/>
                <w:lang w:val="en-US" w:eastAsia="zh-CN" w:bidi="ar-SA"/>
              </w:rPr>
              <w:t>4</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93.33</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534" w:hRule="atLeast"/>
        </w:trPr>
        <w:tc>
          <w:tcPr>
            <w:tcW w:w="84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产出</w:t>
            </w:r>
          </w:p>
        </w:tc>
        <w:tc>
          <w:tcPr>
            <w:tcW w:w="42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30</w:t>
            </w:r>
          </w:p>
        </w:tc>
        <w:tc>
          <w:tcPr>
            <w:tcW w:w="42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bidi="ar-SA"/>
              </w:rPr>
              <w:t>2</w:t>
            </w:r>
            <w:r>
              <w:rPr>
                <w:rFonts w:hint="eastAsia" w:ascii="仿宋_GB2312" w:hAnsi="宋体"/>
                <w:sz w:val="24"/>
                <w:szCs w:val="24"/>
                <w:lang w:val="en-US" w:eastAsia="zh-CN" w:bidi="ar-SA"/>
              </w:rPr>
              <w:t>6</w:t>
            </w:r>
          </w:p>
        </w:tc>
        <w:tc>
          <w:tcPr>
            <w:tcW w:w="64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86.67</w:t>
            </w:r>
            <w:r>
              <w:rPr>
                <w:rFonts w:hint="eastAsia" w:ascii="仿宋_GB2312" w:hAnsi="宋体"/>
                <w:sz w:val="24"/>
                <w:szCs w:val="24"/>
                <w:lang w:val="en-US" w:bidi="ar-SA"/>
              </w:rPr>
              <w:t>%</w:t>
            </w: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产出数量</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15</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11</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73.33</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555" w:hRule="atLeast"/>
        </w:trPr>
        <w:tc>
          <w:tcPr>
            <w:tcW w:w="84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64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产出质量</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9</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9</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100%</w:t>
            </w:r>
          </w:p>
        </w:tc>
      </w:tr>
      <w:tr>
        <w:tblPrEx>
          <w:tblCellMar>
            <w:top w:w="0" w:type="dxa"/>
            <w:left w:w="0" w:type="dxa"/>
            <w:bottom w:w="0" w:type="dxa"/>
            <w:right w:w="0" w:type="dxa"/>
          </w:tblCellMar>
        </w:tblPrEx>
        <w:trPr>
          <w:trHeight w:val="533" w:hRule="atLeast"/>
        </w:trPr>
        <w:tc>
          <w:tcPr>
            <w:tcW w:w="84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64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产出时效</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4</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100%</w:t>
            </w:r>
          </w:p>
        </w:tc>
      </w:tr>
      <w:tr>
        <w:tblPrEx>
          <w:tblCellMar>
            <w:top w:w="0" w:type="dxa"/>
            <w:left w:w="0" w:type="dxa"/>
            <w:bottom w:w="0" w:type="dxa"/>
            <w:right w:w="0" w:type="dxa"/>
          </w:tblCellMar>
        </w:tblPrEx>
        <w:trPr>
          <w:trHeight w:val="557" w:hRule="atLeast"/>
        </w:trPr>
        <w:tc>
          <w:tcPr>
            <w:tcW w:w="84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64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产出成本</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2</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2</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551" w:hRule="atLeast"/>
        </w:trPr>
        <w:tc>
          <w:tcPr>
            <w:tcW w:w="84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效益</w:t>
            </w:r>
          </w:p>
        </w:tc>
        <w:tc>
          <w:tcPr>
            <w:tcW w:w="42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30</w:t>
            </w:r>
          </w:p>
        </w:tc>
        <w:tc>
          <w:tcPr>
            <w:tcW w:w="42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29</w:t>
            </w:r>
          </w:p>
        </w:tc>
        <w:tc>
          <w:tcPr>
            <w:tcW w:w="649"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eastAsia="zh-CN" w:bidi="ar-SA"/>
              </w:rPr>
              <w:t>96.67</w:t>
            </w:r>
            <w:r>
              <w:rPr>
                <w:rFonts w:hint="eastAsia" w:ascii="仿宋_GB2312" w:hAnsi="宋体"/>
                <w:sz w:val="24"/>
                <w:szCs w:val="24"/>
                <w:lang w:val="en-US" w:bidi="ar-SA"/>
              </w:rPr>
              <w:t>%</w:t>
            </w:r>
            <w:r>
              <w:rPr>
                <w:rFonts w:hint="eastAsia" w:ascii="仿宋_GB2312" w:hAnsi="宋体"/>
                <w:sz w:val="24"/>
                <w:szCs w:val="24"/>
                <w:lang w:val="en-US" w:eastAsia="zh-CN" w:bidi="ar-SA"/>
              </w:rPr>
              <w:t xml:space="preserve"> </w:t>
            </w: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社会效益</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10</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10</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559" w:hRule="atLeast"/>
        </w:trPr>
        <w:tc>
          <w:tcPr>
            <w:tcW w:w="84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64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可持续影响</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10</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9</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90</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539" w:hRule="atLeast"/>
        </w:trPr>
        <w:tc>
          <w:tcPr>
            <w:tcW w:w="84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42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64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满意度</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bidi="ar-SA"/>
              </w:rPr>
              <w:t>10</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hint="default" w:ascii="仿宋_GB2312" w:hAnsi="宋体" w:eastAsia="仿宋_GB2312"/>
                <w:sz w:val="24"/>
                <w:szCs w:val="24"/>
                <w:lang w:val="en-US" w:eastAsia="zh-CN" w:bidi="ar-SA"/>
              </w:rPr>
            </w:pPr>
            <w:r>
              <w:rPr>
                <w:rFonts w:hint="eastAsia" w:ascii="仿宋_GB2312" w:hAnsi="宋体"/>
                <w:sz w:val="24"/>
                <w:szCs w:val="24"/>
                <w:lang w:val="en-US" w:eastAsia="zh-CN" w:bidi="ar-SA"/>
              </w:rPr>
              <w:t>10</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textAlignment w:val="center"/>
              <w:rPr>
                <w:rFonts w:ascii="仿宋_GB2312" w:hAnsi="宋体"/>
                <w:sz w:val="24"/>
                <w:szCs w:val="24"/>
                <w:lang w:val="en-US" w:bidi="ar-SA"/>
              </w:rPr>
            </w:pPr>
            <w:r>
              <w:rPr>
                <w:rFonts w:hint="eastAsia" w:ascii="仿宋_GB2312" w:hAnsi="宋体"/>
                <w:sz w:val="24"/>
                <w:szCs w:val="24"/>
                <w:lang w:val="en-US" w:eastAsia="zh-CN" w:bidi="ar-SA"/>
              </w:rPr>
              <w:t>100</w:t>
            </w:r>
            <w:r>
              <w:rPr>
                <w:rFonts w:hint="eastAsia" w:ascii="仿宋_GB2312" w:hAnsi="宋体"/>
                <w:sz w:val="24"/>
                <w:szCs w:val="24"/>
                <w:lang w:val="en-US" w:bidi="ar-SA"/>
              </w:rPr>
              <w:t>%</w:t>
            </w:r>
          </w:p>
        </w:tc>
      </w:tr>
      <w:tr>
        <w:tblPrEx>
          <w:tblCellMar>
            <w:top w:w="0" w:type="dxa"/>
            <w:left w:w="0" w:type="dxa"/>
            <w:bottom w:w="0" w:type="dxa"/>
            <w:right w:w="0" w:type="dxa"/>
          </w:tblCellMar>
        </w:tblPrEx>
        <w:trPr>
          <w:trHeight w:val="487" w:hRule="atLeast"/>
        </w:trPr>
        <w:tc>
          <w:tcPr>
            <w:tcW w:w="8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合计</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bidi="ar-SA"/>
              </w:rPr>
              <w:t>9</w:t>
            </w:r>
            <w:r>
              <w:rPr>
                <w:rFonts w:hint="eastAsia" w:ascii="仿宋_GB2312" w:hAnsi="宋体"/>
                <w:sz w:val="24"/>
                <w:szCs w:val="24"/>
                <w:lang w:val="en-US" w:eastAsia="zh-CN" w:bidi="ar-SA"/>
              </w:rPr>
              <w:t>2</w:t>
            </w:r>
          </w:p>
        </w:tc>
        <w:tc>
          <w:tcPr>
            <w:tcW w:w="64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bidi="ar-SA"/>
              </w:rPr>
              <w:t>9</w:t>
            </w:r>
            <w:r>
              <w:rPr>
                <w:rFonts w:hint="eastAsia" w:ascii="仿宋_GB2312" w:hAnsi="宋体"/>
                <w:sz w:val="24"/>
                <w:szCs w:val="24"/>
                <w:lang w:val="en-US" w:eastAsia="zh-CN" w:bidi="ar-SA"/>
              </w:rPr>
              <w:t>2</w:t>
            </w:r>
            <w:r>
              <w:rPr>
                <w:rFonts w:hint="eastAsia" w:ascii="仿宋_GB2312" w:hAnsi="宋体"/>
                <w:sz w:val="24"/>
                <w:szCs w:val="24"/>
                <w:lang w:val="en-US" w:bidi="ar-SA"/>
              </w:rPr>
              <w:t>%</w:t>
            </w:r>
            <w:r>
              <w:rPr>
                <w:rFonts w:hint="eastAsia" w:ascii="仿宋_GB2312" w:hAnsi="宋体"/>
                <w:sz w:val="24"/>
                <w:szCs w:val="24"/>
                <w:lang w:val="en-US" w:eastAsia="zh-CN" w:bidi="ar-SA"/>
              </w:rPr>
              <w:t xml:space="preserve"> </w:t>
            </w:r>
          </w:p>
        </w:tc>
        <w:tc>
          <w:tcPr>
            <w:tcW w:w="10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合计</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100</w:t>
            </w:r>
          </w:p>
        </w:tc>
        <w:tc>
          <w:tcPr>
            <w:tcW w:w="4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hint="eastAsia" w:ascii="仿宋_GB2312" w:hAnsi="宋体" w:eastAsia="仿宋_GB2312"/>
                <w:sz w:val="24"/>
                <w:szCs w:val="24"/>
                <w:lang w:val="en-US" w:eastAsia="zh-CN" w:bidi="ar-SA"/>
              </w:rPr>
            </w:pPr>
            <w:r>
              <w:rPr>
                <w:rFonts w:hint="eastAsia" w:ascii="仿宋_GB2312" w:hAnsi="宋体"/>
                <w:sz w:val="24"/>
                <w:szCs w:val="24"/>
                <w:lang w:val="en-US" w:bidi="ar-SA"/>
              </w:rPr>
              <w:t>9</w:t>
            </w:r>
            <w:r>
              <w:rPr>
                <w:rFonts w:hint="eastAsia" w:ascii="仿宋_GB2312" w:hAnsi="宋体"/>
                <w:sz w:val="24"/>
                <w:szCs w:val="24"/>
                <w:lang w:val="en-US" w:eastAsia="zh-CN" w:bidi="ar-SA"/>
              </w:rPr>
              <w:t>2</w:t>
            </w:r>
          </w:p>
        </w:tc>
        <w:tc>
          <w:tcPr>
            <w:tcW w:w="7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9</w:t>
            </w:r>
            <w:r>
              <w:rPr>
                <w:rFonts w:hint="eastAsia" w:ascii="仿宋_GB2312" w:hAnsi="宋体"/>
                <w:sz w:val="24"/>
                <w:szCs w:val="24"/>
                <w:lang w:val="en-US" w:eastAsia="zh-CN" w:bidi="ar-SA"/>
              </w:rPr>
              <w:t>2</w:t>
            </w:r>
            <w:r>
              <w:rPr>
                <w:rFonts w:hint="eastAsia" w:ascii="仿宋_GB2312" w:hAnsi="宋体"/>
                <w:sz w:val="24"/>
                <w:szCs w:val="24"/>
                <w:lang w:val="en-US" w:bidi="ar-SA"/>
              </w:rPr>
              <w:t>%</w:t>
            </w:r>
          </w:p>
        </w:tc>
      </w:tr>
    </w:tbl>
    <w:p>
      <w:pPr>
        <w:spacing w:beforeLines="100"/>
        <w:ind w:firstLine="560"/>
        <w:rPr>
          <w:rFonts w:hint="eastAsia" w:eastAsia="仿宋_GB2312"/>
          <w:lang w:eastAsia="zh-CN"/>
        </w:rPr>
      </w:pPr>
      <w:r>
        <w:t>从评价结果</w:t>
      </w:r>
      <w:r>
        <w:rPr>
          <w:rFonts w:hint="eastAsia"/>
        </w:rPr>
        <w:t>来</w:t>
      </w:r>
      <w:r>
        <w:t>看，</w:t>
      </w:r>
      <w:r>
        <w:rPr>
          <w:rFonts w:hint="eastAsia"/>
          <w:lang w:eastAsia="zh-CN"/>
        </w:rPr>
        <w:t>局机关及医保经办服务大厅运行项目经费</w:t>
      </w:r>
      <w:r>
        <w:t>总体绩效</w:t>
      </w:r>
      <w:r>
        <w:rPr>
          <w:rFonts w:hint="eastAsia"/>
        </w:rPr>
        <w:t>优秀</w:t>
      </w:r>
      <w:r>
        <w:t>，取得了较好的</w:t>
      </w:r>
      <w:r>
        <w:rPr>
          <w:rFonts w:hint="eastAsia"/>
        </w:rPr>
        <w:t>效果。</w:t>
      </w:r>
      <w:r>
        <w:rPr>
          <w:rFonts w:hint="eastAsia"/>
          <w:lang w:eastAsia="zh-CN"/>
        </w:rPr>
        <w:t>维护了医保经办服务大厅的正常运转，提高了工作人员的办公效率</w:t>
      </w:r>
      <w:r>
        <w:rPr>
          <w:rFonts w:hint="eastAsia"/>
        </w:rPr>
        <w:t>，</w:t>
      </w:r>
      <w:r>
        <w:rPr>
          <w:rFonts w:hint="eastAsia"/>
          <w:lang w:eastAsia="zh-CN"/>
        </w:rPr>
        <w:t>完善了医保经办管理和公共服务体系，方便城镇职工就医看病，提高参保人员的满意度。</w:t>
      </w:r>
    </w:p>
    <w:p>
      <w:pPr>
        <w:ind w:firstLine="560"/>
      </w:pPr>
      <w:r>
        <w:rPr>
          <w:rFonts w:hint="eastAsia"/>
        </w:rPr>
        <w:t>从分类指标来看，</w:t>
      </w:r>
      <w:r>
        <w:rPr>
          <w:rFonts w:hint="eastAsia"/>
          <w:lang w:eastAsia="zh-CN"/>
        </w:rPr>
        <w:t>决策类</w:t>
      </w:r>
      <w:r>
        <w:rPr>
          <w:rFonts w:hint="eastAsia"/>
        </w:rPr>
        <w:t>和</w:t>
      </w:r>
      <w:r>
        <w:rPr>
          <w:rFonts w:hint="eastAsia"/>
          <w:lang w:eastAsia="zh-CN"/>
        </w:rPr>
        <w:t>过程类</w:t>
      </w:r>
      <w:r>
        <w:rPr>
          <w:rFonts w:hint="eastAsia"/>
        </w:rPr>
        <w:t>得分率较高，项目在绩效目标制定及管理过程中</w:t>
      </w:r>
      <w:r>
        <w:rPr>
          <w:rFonts w:hint="eastAsia"/>
          <w:lang w:eastAsia="zh-CN"/>
        </w:rPr>
        <w:t>有标准化、规范化的管理方法，在项目</w:t>
      </w:r>
      <w:r>
        <w:rPr>
          <w:rFonts w:hint="eastAsia"/>
        </w:rPr>
        <w:t>计划、实施、监管</w:t>
      </w:r>
      <w:r>
        <w:rPr>
          <w:rFonts w:hint="eastAsia"/>
          <w:lang w:eastAsia="zh-CN"/>
        </w:rPr>
        <w:t>等方面具备完善，科学的管理措施，使医保经办服务大厅建成后尽快的投入到使用中。但是在</w:t>
      </w:r>
      <w:r>
        <w:rPr>
          <w:rFonts w:hint="eastAsia"/>
        </w:rPr>
        <w:t>整体产出和效果</w:t>
      </w:r>
      <w:r>
        <w:rPr>
          <w:rFonts w:hint="eastAsia"/>
          <w:lang w:eastAsia="zh-CN"/>
        </w:rPr>
        <w:t>上，</w:t>
      </w:r>
      <w:r>
        <w:rPr>
          <w:rFonts w:hint="eastAsia"/>
        </w:rPr>
        <w:t>有待进一步完善，</w:t>
      </w:r>
      <w:r>
        <w:rPr>
          <w:rFonts w:hint="eastAsia"/>
          <w:lang w:eastAsia="zh-CN"/>
        </w:rPr>
        <w:t>高效利用“互联网</w:t>
      </w:r>
      <w:r>
        <w:rPr>
          <w:rFonts w:hint="eastAsia"/>
          <w:lang w:val="en-US" w:eastAsia="zh-CN"/>
        </w:rPr>
        <w:t>+、便携式一体机</w:t>
      </w:r>
      <w:r>
        <w:rPr>
          <w:rFonts w:hint="eastAsia"/>
          <w:lang w:eastAsia="zh-CN"/>
        </w:rPr>
        <w:t>”等医保服务新模式，让城镇居民在医疗保障中更有幸福感</w:t>
      </w:r>
      <w:r>
        <w:rPr>
          <w:rFonts w:hint="eastAsia"/>
        </w:rPr>
        <w:t>。</w:t>
      </w:r>
    </w:p>
    <w:p>
      <w:pPr>
        <w:pStyle w:val="3"/>
        <w:spacing w:before="120"/>
        <w:ind w:firstLine="643"/>
      </w:pPr>
      <w:bookmarkStart w:id="20" w:name="_Toc45292268"/>
      <w:r>
        <w:rPr>
          <w:rFonts w:hint="eastAsia"/>
        </w:rPr>
        <w:t>四、绩效评价指标分析</w:t>
      </w:r>
      <w:bookmarkEnd w:id="19"/>
      <w:bookmarkEnd w:id="20"/>
    </w:p>
    <w:p>
      <w:pPr>
        <w:pStyle w:val="4"/>
        <w:spacing w:before="120"/>
        <w:ind w:firstLine="562"/>
        <w:rPr>
          <w:rFonts w:hint="default" w:ascii="Times New Roman" w:hAnsi="Times New Roman" w:eastAsia="仿宋_GB2312" w:cs="宋体"/>
          <w:b w:val="0"/>
          <w:bCs w:val="0"/>
          <w:sz w:val="28"/>
          <w:szCs w:val="22"/>
          <w:lang w:val="en-US" w:eastAsia="zh-CN" w:bidi="zh-CN"/>
        </w:rPr>
      </w:pPr>
      <w:bookmarkStart w:id="21" w:name="_Toc45292269"/>
      <w:bookmarkStart w:id="22" w:name="_Toc8542"/>
      <w:r>
        <w:rPr>
          <w:rFonts w:hint="eastAsia" w:ascii="Times New Roman" w:hAnsi="Times New Roman" w:eastAsia="仿宋_GB2312" w:cs="宋体"/>
          <w:b w:val="0"/>
          <w:bCs w:val="0"/>
          <w:sz w:val="28"/>
          <w:szCs w:val="22"/>
          <w:lang w:val="zh-CN" w:eastAsia="zh-CN" w:bidi="zh-CN"/>
        </w:rPr>
        <w:t>我局按照《局机关及医保经办服务大厅运行项目经费绩效评价指标体系》，对医保经办服务大厅运行项目进行评价及分析。</w:t>
      </w:r>
    </w:p>
    <w:p>
      <w:pPr>
        <w:pStyle w:val="4"/>
        <w:spacing w:before="120"/>
        <w:ind w:firstLine="562"/>
      </w:pPr>
      <w:r>
        <w:rPr>
          <w:rFonts w:hint="eastAsia"/>
        </w:rPr>
        <w:t>（一）项目决策情况</w:t>
      </w:r>
      <w:bookmarkEnd w:id="21"/>
    </w:p>
    <w:p>
      <w:pPr>
        <w:ind w:firstLine="560"/>
      </w:pPr>
      <w:r>
        <w:t>项目决策包括项目立项、绩效目标、资金投入三个方面，</w:t>
      </w:r>
      <w:r>
        <w:rPr>
          <w:rFonts w:hint="eastAsia"/>
        </w:rPr>
        <w:t>总分10分，得分</w:t>
      </w:r>
      <w:r>
        <w:rPr>
          <w:rFonts w:hint="eastAsia"/>
          <w:lang w:val="en-US" w:eastAsia="zh-CN"/>
        </w:rPr>
        <w:t>10</w:t>
      </w:r>
      <w:r>
        <w:rPr>
          <w:rFonts w:hint="eastAsia"/>
        </w:rPr>
        <w:t>分。</w:t>
      </w:r>
      <w:r>
        <w:t>具体</w:t>
      </w:r>
      <w:r>
        <w:rPr>
          <w:rFonts w:hint="eastAsia"/>
        </w:rPr>
        <w:t>指标设为</w:t>
      </w:r>
      <w:r>
        <w:t>立项依据充分性、立项程序规范性、绩效目标合理性、绩效指标明确性、预算编制科学性、资金分配合理性</w:t>
      </w:r>
      <w:r>
        <w:rPr>
          <w:rFonts w:hint="eastAsia"/>
        </w:rPr>
        <w:t>。 各分项指标得分和绩效分析如下：</w:t>
      </w:r>
    </w:p>
    <w:p>
      <w:pPr>
        <w:pStyle w:val="42"/>
        <w:spacing w:line="240" w:lineRule="auto"/>
        <w:ind w:left="0" w:firstLine="0"/>
        <w:rPr>
          <w:rFonts w:ascii="Times New Roman" w:hAnsi="Times New Roman" w:eastAsia="仿宋_GB2312" w:cs="宋体"/>
          <w:kern w:val="0"/>
          <w:sz w:val="28"/>
          <w:szCs w:val="22"/>
          <w:lang w:val="zh-CN" w:bidi="zh-CN"/>
        </w:rPr>
      </w:pPr>
      <w:r>
        <w:rPr>
          <w:rFonts w:hint="eastAsia" w:ascii="Times New Roman" w:hAnsi="Times New Roman" w:eastAsia="仿宋_GB2312" w:cs="宋体"/>
          <w:kern w:val="0"/>
          <w:sz w:val="28"/>
          <w:szCs w:val="22"/>
          <w:lang w:val="zh-CN" w:bidi="zh-CN"/>
        </w:rPr>
        <w:t xml:space="preserve">      （1）项目立项方面：满分2分，得2分。</w:t>
      </w:r>
    </w:p>
    <w:tbl>
      <w:tblPr>
        <w:tblStyle w:val="1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701"/>
        <w:gridCol w:w="3544"/>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70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544"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0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6"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项目立项</w:t>
            </w:r>
          </w:p>
        </w:tc>
        <w:tc>
          <w:tcPr>
            <w:tcW w:w="851"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2</w:t>
            </w: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立项依据充分性</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项目立项是否符合法律法规，相关政策、发展规划以及部门职责，用以反映和考核项目立项依据情况</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1</w:t>
            </w:r>
          </w:p>
        </w:tc>
        <w:tc>
          <w:tcPr>
            <w:tcW w:w="709"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6"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立项程序规范性</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项目是否有明确、齐全的项目申报依据、申报文本、批复文件，项目是否必要</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1</w:t>
            </w:r>
          </w:p>
        </w:tc>
        <w:tc>
          <w:tcPr>
            <w:tcW w:w="709"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1</w:t>
            </w:r>
          </w:p>
        </w:tc>
      </w:tr>
    </w:tbl>
    <w:p>
      <w:pPr>
        <w:ind w:firstLine="560"/>
      </w:pPr>
      <w:r>
        <w:rPr>
          <w:rFonts w:hint="eastAsia"/>
        </w:rPr>
        <w:t>①项目立项依据充分性：</w:t>
      </w:r>
      <w:r>
        <w:rPr>
          <w:rFonts w:hint="eastAsia"/>
          <w:lang w:eastAsia="zh-CN"/>
        </w:rPr>
        <w:t>医保经办大厅</w:t>
      </w:r>
      <w:r>
        <w:rPr>
          <w:rFonts w:hint="eastAsia"/>
        </w:rPr>
        <w:t>是城市重要的基础</w:t>
      </w:r>
      <w:r>
        <w:rPr>
          <w:rFonts w:hint="eastAsia"/>
          <w:lang w:eastAsia="zh-CN"/>
        </w:rPr>
        <w:t>服务</w:t>
      </w:r>
      <w:r>
        <w:rPr>
          <w:rFonts w:hint="eastAsia"/>
        </w:rPr>
        <w:t>设施，是城市现代化建设的重要内容，</w:t>
      </w:r>
      <w:r>
        <w:rPr>
          <w:rFonts w:hint="eastAsia"/>
          <w:lang w:eastAsia="zh-CN"/>
        </w:rPr>
        <w:t>对完善医保经办管理、公共服务体系</w:t>
      </w:r>
      <w:r>
        <w:rPr>
          <w:rFonts w:hint="eastAsia"/>
        </w:rPr>
        <w:t>和提高广大人民群众生活质量</w:t>
      </w:r>
      <w:r>
        <w:rPr>
          <w:rFonts w:hint="eastAsia"/>
          <w:lang w:eastAsia="zh-CN"/>
        </w:rPr>
        <w:t>具有重要意义</w:t>
      </w:r>
      <w:r>
        <w:rPr>
          <w:rFonts w:hint="eastAsia"/>
        </w:rPr>
        <w:t>。中共承德市委、承德市人民政府《关于印发&lt;承德市机构改革方案&gt;的通知》（承字〔2018〕26号）文件要求，组建我局，将市人力资源和社会保障局的城镇职工和城乡居民基本医疗保险、生育保险职责整合。中共承德市委、承德市人民政府《关于印发&lt;承德市医疗保障局职能配置、内设机构和人员编制的规定&gt;的通知》（承办字〔2019〕15号）规定了我局的部门职责，具体包括：“负责医疗保障经办管理、公共服务体系和信息化建设”。本项目的实施依据《承德市机关事务管理局关于调整市医疗保险建设经办大厅所需业务用房面积的请示》（承事管〔2019〕149号），项目内容为</w:t>
      </w:r>
      <w:r>
        <w:rPr>
          <w:rFonts w:hint="eastAsia"/>
          <w:lang w:eastAsia="zh-CN"/>
        </w:rPr>
        <w:t>医保大厅的各项基本支出</w:t>
      </w:r>
      <w:r>
        <w:rPr>
          <w:rFonts w:hint="eastAsia"/>
        </w:rPr>
        <w:t>，目的为保障我局经办大厅正常、高质量、高效运转，真正实现医疗保障“为民、便民、利民、惠民”。</w:t>
      </w:r>
      <w:r>
        <w:t>项目立项符合国家法律法规、国民经济发展规划和相关政策，</w:t>
      </w:r>
      <w:r>
        <w:rPr>
          <w:rFonts w:hint="eastAsia"/>
        </w:rPr>
        <w:t>省级市级国民经济十三五发展规划和党委政府决策，</w:t>
      </w:r>
      <w:r>
        <w:t>与部门职责范围相符，属于部门履职所需，</w:t>
      </w:r>
      <w:r>
        <w:rPr>
          <w:rFonts w:hint="eastAsia"/>
        </w:rPr>
        <w:t>因此，该指标得1分。</w:t>
      </w:r>
    </w:p>
    <w:p>
      <w:pPr>
        <w:ind w:firstLine="560"/>
      </w:pPr>
      <w:r>
        <w:rPr>
          <w:rFonts w:hint="eastAsia"/>
        </w:rPr>
        <w:t>②立项程序规范性：本项目按规定程序申请并获得承德市财政局批复，设立过程中提交的文件和材料符合相关要求。根据评分标准，该指标得1分。</w:t>
      </w:r>
    </w:p>
    <w:p>
      <w:pPr>
        <w:spacing w:line="240" w:lineRule="auto"/>
        <w:ind w:firstLine="560"/>
      </w:pPr>
      <w:r>
        <w:rPr>
          <w:rFonts w:hint="eastAsia"/>
        </w:rPr>
        <w:t>（2）绩效目标方面：满分</w:t>
      </w:r>
      <w:r>
        <w:rPr>
          <w:rFonts w:hint="eastAsia"/>
          <w:lang w:val="en-US" w:eastAsia="zh-CN"/>
        </w:rPr>
        <w:t>4</w:t>
      </w:r>
      <w:r>
        <w:rPr>
          <w:rFonts w:hint="eastAsia"/>
        </w:rPr>
        <w:t>分，得</w:t>
      </w:r>
      <w:r>
        <w:rPr>
          <w:rFonts w:hint="eastAsia"/>
          <w:lang w:val="en-US" w:eastAsia="zh-CN"/>
        </w:rPr>
        <w:t>2</w:t>
      </w:r>
      <w:r>
        <w:rPr>
          <w:rFonts w:hint="eastAsia"/>
        </w:rPr>
        <w:t>分。</w:t>
      </w:r>
    </w:p>
    <w:tbl>
      <w:tblPr>
        <w:tblStyle w:val="1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701"/>
        <w:gridCol w:w="3544"/>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bookmarkStart w:id="23" w:name="_Toc45292270"/>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70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544"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6"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绩效目标</w:t>
            </w:r>
          </w:p>
        </w:tc>
        <w:tc>
          <w:tcPr>
            <w:tcW w:w="851"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4</w:t>
            </w: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绩效目标明确性</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项目单位是否设置项目总体绩效目标和阶段目标，项目总体绩效目标是否与本行业中长期发展规划密切相关 ，项目阶段性绩效目标与单位的年度计划相关</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2</w:t>
            </w:r>
          </w:p>
        </w:tc>
        <w:tc>
          <w:tcPr>
            <w:tcW w:w="851" w:type="dxa"/>
            <w:vAlign w:val="center"/>
          </w:tcPr>
          <w:p>
            <w:pPr>
              <w:widowControl/>
              <w:topLinePunct w:val="0"/>
              <w:spacing w:line="240" w:lineRule="auto"/>
              <w:ind w:firstLine="0" w:firstLineChars="0"/>
              <w:jc w:val="center"/>
              <w:rPr>
                <w:rFonts w:hint="default" w:ascii="仿宋_GB2312" w:hAnsi="宋体" w:eastAsia="仿宋_GB2312"/>
                <w:color w:val="000000"/>
                <w:sz w:val="20"/>
                <w:szCs w:val="20"/>
                <w:lang w:val="en-US" w:eastAsia="zh-CN" w:bidi="ar-SA"/>
              </w:rPr>
            </w:pPr>
            <w:r>
              <w:rPr>
                <w:rFonts w:hint="eastAsia" w:ascii="仿宋_GB2312" w:hAnsi="宋体"/>
                <w:color w:val="000000"/>
                <w:sz w:val="20"/>
                <w:szCs w:val="2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6"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绩效指标合理性</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依据绩效目标设定的绩效指标是否清晰、细化、可衡量等，用以反映和考核项目绩效指标的设置情况</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2</w:t>
            </w:r>
          </w:p>
        </w:tc>
        <w:tc>
          <w:tcPr>
            <w:tcW w:w="851" w:type="dxa"/>
            <w:vAlign w:val="center"/>
          </w:tcPr>
          <w:p>
            <w:pPr>
              <w:widowControl/>
              <w:topLinePunct w:val="0"/>
              <w:spacing w:line="240" w:lineRule="auto"/>
              <w:ind w:firstLine="0" w:firstLineChars="0"/>
              <w:jc w:val="center"/>
              <w:rPr>
                <w:rFonts w:hint="default" w:ascii="仿宋_GB2312" w:hAnsi="宋体" w:eastAsia="仿宋_GB2312"/>
                <w:color w:val="000000"/>
                <w:sz w:val="20"/>
                <w:szCs w:val="20"/>
                <w:lang w:val="en-US" w:eastAsia="zh-CN" w:bidi="ar-SA"/>
              </w:rPr>
            </w:pPr>
            <w:r>
              <w:rPr>
                <w:rFonts w:hint="eastAsia" w:ascii="仿宋_GB2312" w:hAnsi="宋体"/>
                <w:color w:val="000000"/>
                <w:sz w:val="20"/>
                <w:szCs w:val="20"/>
                <w:lang w:val="en-US" w:eastAsia="zh-CN" w:bidi="ar-SA"/>
              </w:rPr>
              <w:t>1</w:t>
            </w:r>
          </w:p>
        </w:tc>
      </w:tr>
    </w:tbl>
    <w:p>
      <w:pPr>
        <w:spacing w:beforeLines="50"/>
        <w:ind w:firstLine="0" w:firstLineChars="0"/>
      </w:pPr>
      <w:r>
        <w:rPr>
          <w:rFonts w:hint="eastAsia" w:ascii="仿宋_GB2312"/>
        </w:rPr>
        <w:t>①</w:t>
      </w:r>
      <w:r>
        <w:rPr>
          <w:rFonts w:hint="eastAsia"/>
        </w:rPr>
        <w:t>绩效目标明确性：本项目虽设置了绩效目标但未对该目标进行细化与分解，未设置阶段性目标及阶段性任务。</w:t>
      </w:r>
      <w:r>
        <w:rPr>
          <w:rFonts w:hint="eastAsia"/>
          <w:lang w:eastAsia="zh-CN"/>
        </w:rPr>
        <w:t>设置的绩效目标：</w:t>
      </w:r>
      <w:r>
        <w:rPr>
          <w:rFonts w:hint="eastAsia"/>
        </w:rPr>
        <w:t>合理安排财政资金支出计划，遵循单位财务规章制度，在预算内按进度支出；保障局机关及医保经办大厅正常运转</w:t>
      </w:r>
      <w:r>
        <w:rPr>
          <w:rFonts w:hint="eastAsia"/>
          <w:lang w:eastAsia="zh-CN"/>
        </w:rPr>
        <w:t>。</w:t>
      </w:r>
      <w:r>
        <w:rPr>
          <w:rFonts w:hint="eastAsia"/>
        </w:rPr>
        <w:t>对绩效目标描述的笼统，</w:t>
      </w:r>
      <w:r>
        <w:rPr>
          <w:rFonts w:hint="eastAsia"/>
          <w:lang w:eastAsia="zh-CN"/>
        </w:rPr>
        <w:t>未体现阶段性任务，</w:t>
      </w:r>
      <w:r>
        <w:rPr>
          <w:rFonts w:hint="eastAsia"/>
        </w:rPr>
        <w:t>不够清晰无法完全体现</w:t>
      </w:r>
      <w:r>
        <w:rPr>
          <w:rFonts w:hint="eastAsia"/>
          <w:lang w:val="en-US" w:eastAsia="zh-CN"/>
        </w:rPr>
        <w:t>2021</w:t>
      </w:r>
      <w:r>
        <w:rPr>
          <w:rFonts w:hint="eastAsia"/>
        </w:rPr>
        <w:t>年重点工作情况。根据评分标准，扣1分，得1分。</w:t>
      </w:r>
    </w:p>
    <w:p>
      <w:pPr>
        <w:ind w:firstLine="0" w:firstLineChars="0"/>
      </w:pPr>
      <w:r>
        <w:rPr>
          <w:rFonts w:hint="eastAsia" w:ascii="仿宋_GB2312"/>
        </w:rPr>
        <w:t>②</w:t>
      </w:r>
      <w:r>
        <w:rPr>
          <w:rFonts w:hint="eastAsia"/>
        </w:rPr>
        <w:t>绩效指标合理性：绩效指标设置不够完整，全面性有待提高。产出指标应从数量、质量、时效、成本四个指标设置。项目绩效指标设置了“基金监管县（市）范围”，指标不够</w:t>
      </w:r>
      <w:r>
        <w:rPr>
          <w:rFonts w:hint="eastAsia"/>
          <w:lang w:eastAsia="zh-CN"/>
        </w:rPr>
        <w:t>科学合理</w:t>
      </w:r>
      <w:r>
        <w:rPr>
          <w:rFonts w:hint="eastAsia"/>
        </w:rPr>
        <w:t>。可根据全年的工作计划，对工作目标进行分解，分项设置指标。如：</w:t>
      </w:r>
      <w:r>
        <w:rPr>
          <w:rFonts w:hint="eastAsia"/>
          <w:lang w:eastAsia="zh-CN"/>
        </w:rPr>
        <w:t>购买服装数量、工作日保障单位运转时长</w:t>
      </w:r>
      <w:r>
        <w:rPr>
          <w:rFonts w:hint="eastAsia"/>
        </w:rPr>
        <w:t>等。根据评分标准，扣1分，得1分。</w:t>
      </w:r>
    </w:p>
    <w:p>
      <w:pPr>
        <w:spacing w:line="240" w:lineRule="auto"/>
        <w:ind w:firstLine="560"/>
      </w:pPr>
      <w:r>
        <w:rPr>
          <w:rFonts w:hint="eastAsia"/>
        </w:rPr>
        <w:t>（3）资金投入方面：满分</w:t>
      </w:r>
      <w:r>
        <w:rPr>
          <w:rFonts w:hint="eastAsia"/>
          <w:lang w:val="en-US" w:eastAsia="zh-CN"/>
        </w:rPr>
        <w:t>4</w:t>
      </w:r>
      <w:r>
        <w:rPr>
          <w:rFonts w:hint="eastAsia"/>
        </w:rPr>
        <w:t>分，得</w:t>
      </w:r>
      <w:r>
        <w:rPr>
          <w:rFonts w:hint="eastAsia"/>
          <w:lang w:val="en-US" w:eastAsia="zh-CN"/>
        </w:rPr>
        <w:t>4</w:t>
      </w:r>
      <w:r>
        <w:rPr>
          <w:rFonts w:hint="eastAsia"/>
        </w:rPr>
        <w:t>分。</w:t>
      </w:r>
    </w:p>
    <w:tbl>
      <w:tblPr>
        <w:tblStyle w:val="1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701"/>
        <w:gridCol w:w="3544"/>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70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544"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6"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资金投入</w:t>
            </w:r>
          </w:p>
        </w:tc>
        <w:tc>
          <w:tcPr>
            <w:tcW w:w="851"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4</w:t>
            </w: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资金分配合理性</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项目预算资金分配是否有测算依据，与地方实际是否相适应，用以反映和考核项目预算资金分配的科学性、合理性情况。</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2</w:t>
            </w:r>
          </w:p>
        </w:tc>
        <w:tc>
          <w:tcPr>
            <w:tcW w:w="851"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6"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预算编制科学性</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项目预算编制是否经过科学论证、有明确标准，资金额度与年度目标是否相适应，用以反映和考核项目预算编制的科学性、合理性情况。</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2</w:t>
            </w:r>
          </w:p>
        </w:tc>
        <w:tc>
          <w:tcPr>
            <w:tcW w:w="851" w:type="dxa"/>
            <w:vAlign w:val="center"/>
          </w:tcPr>
          <w:p>
            <w:pPr>
              <w:widowControl/>
              <w:topLinePunct w:val="0"/>
              <w:spacing w:line="240" w:lineRule="auto"/>
              <w:ind w:firstLine="0" w:firstLineChars="0"/>
              <w:jc w:val="center"/>
              <w:rPr>
                <w:rFonts w:hint="eastAsia" w:ascii="仿宋_GB2312" w:hAnsi="宋体" w:eastAsia="仿宋_GB2312"/>
                <w:color w:val="000000"/>
                <w:sz w:val="20"/>
                <w:szCs w:val="20"/>
                <w:lang w:val="en-US" w:eastAsia="zh-CN" w:bidi="ar-SA"/>
              </w:rPr>
            </w:pPr>
            <w:r>
              <w:rPr>
                <w:rFonts w:hint="eastAsia" w:ascii="仿宋_GB2312" w:hAnsi="宋体"/>
                <w:color w:val="000000"/>
                <w:sz w:val="20"/>
                <w:szCs w:val="20"/>
                <w:lang w:val="en-US" w:eastAsia="zh-CN" w:bidi="ar-SA"/>
              </w:rPr>
              <w:t>2</w:t>
            </w:r>
          </w:p>
        </w:tc>
      </w:tr>
    </w:tbl>
    <w:p>
      <w:pPr>
        <w:ind w:firstLine="560"/>
      </w:pPr>
      <w:r>
        <w:rPr>
          <w:rFonts w:hint="eastAsia"/>
        </w:rPr>
        <w:t>①资金分配合理性：</w:t>
      </w:r>
      <w:r>
        <w:rPr>
          <w:rFonts w:hint="eastAsia"/>
          <w:lang w:eastAsia="zh-CN"/>
        </w:rPr>
        <w:t>医保经办服务运行</w:t>
      </w:r>
      <w:r>
        <w:rPr>
          <w:rFonts w:hint="eastAsia"/>
        </w:rPr>
        <w:t>经费申报充分考虑</w:t>
      </w:r>
      <w:r>
        <w:rPr>
          <w:rFonts w:hint="eastAsia"/>
          <w:lang w:eastAsia="zh-CN"/>
        </w:rPr>
        <w:t>大厅面积、人员配置</w:t>
      </w:r>
      <w:r>
        <w:rPr>
          <w:rFonts w:hint="eastAsia"/>
        </w:rPr>
        <w:t>等因素，合理分配</w:t>
      </w:r>
      <w:r>
        <w:rPr>
          <w:rFonts w:hint="eastAsia"/>
          <w:lang w:eastAsia="zh-CN"/>
        </w:rPr>
        <w:t>各项资金</w:t>
      </w:r>
      <w:r>
        <w:rPr>
          <w:rFonts w:hint="eastAsia"/>
        </w:rPr>
        <w:t>，</w:t>
      </w:r>
      <w:r>
        <w:rPr>
          <w:rFonts w:hint="eastAsia"/>
          <w:lang w:eastAsia="zh-CN"/>
        </w:rPr>
        <w:t>资金分配额度合理，与项目单位、地方实际相适应。</w:t>
      </w:r>
      <w:r>
        <w:rPr>
          <w:rFonts w:hint="eastAsia"/>
        </w:rPr>
        <w:t>根据评分标准，该指标得</w:t>
      </w:r>
      <w:r>
        <w:rPr>
          <w:rFonts w:hint="eastAsia"/>
          <w:lang w:val="en-US"/>
        </w:rPr>
        <w:t>2</w:t>
      </w:r>
      <w:r>
        <w:rPr>
          <w:rFonts w:hint="eastAsia"/>
        </w:rPr>
        <w:t>分。</w:t>
      </w:r>
    </w:p>
    <w:p>
      <w:pPr>
        <w:wordWrap w:val="0"/>
        <w:ind w:firstLine="560"/>
        <w:rPr>
          <w:rFonts w:hint="default" w:eastAsia="仿宋_GB2312"/>
          <w:lang w:val="en-US" w:eastAsia="zh-CN"/>
        </w:rPr>
      </w:pPr>
      <w:r>
        <w:rPr>
          <w:rFonts w:hint="eastAsia"/>
        </w:rPr>
        <w:t>②预算编制科学性：</w:t>
      </w:r>
      <w:r>
        <w:rPr>
          <w:rFonts w:hint="eastAsia"/>
          <w:lang w:eastAsia="zh-CN"/>
        </w:rPr>
        <w:t>根据《国家发展改革委关于进一步完善分时电价机制的通知》（发改价格</w:t>
      </w:r>
      <w:r>
        <w:rPr>
          <w:rFonts w:hint="eastAsia"/>
        </w:rPr>
        <w:t>〔20</w:t>
      </w:r>
      <w:r>
        <w:rPr>
          <w:rFonts w:hint="eastAsia"/>
          <w:lang w:val="en-US" w:eastAsia="zh-CN"/>
        </w:rPr>
        <w:t>21</w:t>
      </w:r>
      <w:r>
        <w:rPr>
          <w:rFonts w:hint="eastAsia"/>
        </w:rPr>
        <w:t>〕</w:t>
      </w:r>
      <w:r>
        <w:rPr>
          <w:rFonts w:hint="eastAsia"/>
          <w:lang w:val="en-US" w:eastAsia="zh-CN"/>
        </w:rPr>
        <w:t>1093号</w:t>
      </w:r>
      <w:r>
        <w:rPr>
          <w:rFonts w:hint="eastAsia"/>
          <w:lang w:eastAsia="zh-CN"/>
        </w:rPr>
        <w:t>）、</w:t>
      </w:r>
      <w:r>
        <w:rPr>
          <w:rFonts w:hint="eastAsia"/>
          <w:lang w:val="en-US" w:eastAsia="zh-CN"/>
        </w:rPr>
        <w:t>2021年国家水费收取标准规定、2021年河北省城镇供水用水管理办法等有关规定，</w:t>
      </w:r>
      <w:r>
        <w:rPr>
          <w:rFonts w:hint="eastAsia"/>
        </w:rPr>
        <w:t>预算编制经过科学论证，预算内容与项目内容匹配，预算额度测算依据较为充分。根据评分标准，该指标得</w:t>
      </w:r>
      <w:r>
        <w:rPr>
          <w:rFonts w:hint="eastAsia"/>
          <w:lang w:val="en-US"/>
        </w:rPr>
        <w:t>2</w:t>
      </w:r>
      <w:r>
        <w:rPr>
          <w:rFonts w:hint="eastAsia"/>
        </w:rPr>
        <w:t>分。</w:t>
      </w:r>
    </w:p>
    <w:p>
      <w:pPr>
        <w:pStyle w:val="4"/>
        <w:spacing w:before="120"/>
        <w:ind w:firstLine="562"/>
        <w:rPr>
          <w:rFonts w:ascii="黑体" w:hAnsi="黑体" w:cs="黑体"/>
          <w:szCs w:val="28"/>
        </w:rPr>
      </w:pPr>
      <w:r>
        <w:rPr>
          <w:rFonts w:hint="eastAsia" w:ascii="黑体" w:hAnsi="黑体" w:cs="黑体"/>
          <w:szCs w:val="28"/>
        </w:rPr>
        <w:t>（二）项目过程情况</w:t>
      </w:r>
      <w:bookmarkEnd w:id="23"/>
    </w:p>
    <w:p>
      <w:pPr>
        <w:topLinePunct w:val="0"/>
        <w:spacing w:afterLines="50"/>
        <w:ind w:firstLine="560"/>
        <w:rPr>
          <w:rFonts w:hint="eastAsia" w:eastAsiaTheme="minorEastAsia"/>
        </w:rPr>
      </w:pPr>
      <w:r>
        <w:t>项目过程</w:t>
      </w:r>
      <w:r>
        <w:rPr>
          <w:rFonts w:hint="eastAsia"/>
        </w:rPr>
        <w:t>包含</w:t>
      </w:r>
      <w:r>
        <w:t>资金管理和组织实施两个方面，具体</w:t>
      </w:r>
      <w:r>
        <w:rPr>
          <w:rFonts w:hint="eastAsia"/>
        </w:rPr>
        <w:t>指标设定为</w:t>
      </w:r>
      <w:r>
        <w:t>资金到位率、预算执行率、资金使用合规性、管理制度健全性、</w:t>
      </w:r>
      <w:r>
        <w:rPr>
          <w:rFonts w:hint="eastAsia"/>
        </w:rPr>
        <w:t>项目档案管理情况及监管有效性</w:t>
      </w:r>
      <w:r>
        <w:t>，指标总分</w:t>
      </w:r>
      <w:r>
        <w:rPr>
          <w:rFonts w:hint="eastAsia"/>
        </w:rPr>
        <w:t>30</w:t>
      </w:r>
      <w:r>
        <w:t>分，评价得分</w:t>
      </w:r>
      <w:r>
        <w:rPr>
          <w:rFonts w:hint="eastAsia"/>
          <w:lang w:val="en-US" w:eastAsia="zh-CN"/>
        </w:rPr>
        <w:t>29</w:t>
      </w:r>
      <w:r>
        <w:t>分，得分率</w:t>
      </w:r>
      <w:r>
        <w:rPr>
          <w:rFonts w:hint="eastAsia"/>
          <w:lang w:val="en-US" w:eastAsia="zh-CN"/>
        </w:rPr>
        <w:t>96.67</w:t>
      </w:r>
      <w:r>
        <w:t>%。</w:t>
      </w:r>
      <w:r>
        <w:rPr>
          <w:rFonts w:hint="eastAsia"/>
        </w:rPr>
        <w:t>各分项指标得分和绩效分析如下：</w:t>
      </w:r>
    </w:p>
    <w:p>
      <w:pPr>
        <w:spacing w:line="240" w:lineRule="auto"/>
        <w:ind w:firstLine="560"/>
      </w:pPr>
      <w:r>
        <w:rPr>
          <w:rFonts w:hint="eastAsia" w:eastAsiaTheme="minorEastAsia"/>
        </w:rPr>
        <w:t>（1）</w:t>
      </w:r>
      <w:r>
        <w:rPr>
          <w:rFonts w:hint="eastAsia"/>
        </w:rPr>
        <w:t>资金管理方面：满分15分，得1</w:t>
      </w:r>
      <w:r>
        <w:rPr>
          <w:rFonts w:hint="eastAsia"/>
          <w:lang w:val="en-US" w:eastAsia="zh-CN"/>
        </w:rPr>
        <w:t>5</w:t>
      </w:r>
      <w:r>
        <w:rPr>
          <w:rFonts w:hint="eastAsia"/>
        </w:rPr>
        <w:t>分。</w:t>
      </w:r>
    </w:p>
    <w:tbl>
      <w:tblPr>
        <w:tblStyle w:val="1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701"/>
        <w:gridCol w:w="3544"/>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70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544"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6"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资金管理</w:t>
            </w:r>
          </w:p>
        </w:tc>
        <w:tc>
          <w:tcPr>
            <w:tcW w:w="851"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15</w:t>
            </w: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资金到位率</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规定时间内实际到位资金与计划到位资金的比率，用以反映资金下达情况</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5</w:t>
            </w:r>
          </w:p>
        </w:tc>
        <w:tc>
          <w:tcPr>
            <w:tcW w:w="851"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6"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预算执行率</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用以反映和考核资金的实际执行情况。预算执行率 =（实际支出金额/年度预算金额）×100%</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5</w:t>
            </w:r>
          </w:p>
        </w:tc>
        <w:tc>
          <w:tcPr>
            <w:tcW w:w="851" w:type="dxa"/>
            <w:vAlign w:val="center"/>
          </w:tcPr>
          <w:p>
            <w:pPr>
              <w:widowControl/>
              <w:topLinePunct w:val="0"/>
              <w:spacing w:line="240" w:lineRule="auto"/>
              <w:ind w:firstLine="0" w:firstLineChars="0"/>
              <w:jc w:val="center"/>
              <w:rPr>
                <w:rFonts w:hint="eastAsia" w:ascii="仿宋_GB2312" w:hAnsi="宋体" w:eastAsia="仿宋_GB2312"/>
                <w:color w:val="000000"/>
                <w:sz w:val="20"/>
                <w:szCs w:val="20"/>
                <w:lang w:val="en-US" w:eastAsia="zh-CN" w:bidi="ar-SA"/>
              </w:rPr>
            </w:pPr>
            <w:r>
              <w:rPr>
                <w:rFonts w:hint="eastAsia" w:ascii="仿宋_GB2312" w:hAnsi="宋体"/>
                <w:color w:val="000000"/>
                <w:sz w:val="20"/>
                <w:szCs w:val="20"/>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6"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1701"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资金使用合规性</w:t>
            </w:r>
          </w:p>
        </w:tc>
        <w:tc>
          <w:tcPr>
            <w:tcW w:w="3544"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项目资金使用是否符合相关的财务管理制度规定，用以反映和考核项目资金的规范运行情况</w:t>
            </w:r>
          </w:p>
        </w:tc>
        <w:tc>
          <w:tcPr>
            <w:tcW w:w="708"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5</w:t>
            </w:r>
          </w:p>
        </w:tc>
        <w:tc>
          <w:tcPr>
            <w:tcW w:w="851" w:type="dxa"/>
            <w:vAlign w:val="center"/>
          </w:tcPr>
          <w:p>
            <w:pPr>
              <w:widowControl/>
              <w:topLinePunct w:val="0"/>
              <w:spacing w:line="240" w:lineRule="auto"/>
              <w:ind w:firstLine="0" w:firstLineChars="0"/>
              <w:jc w:val="center"/>
              <w:rPr>
                <w:rFonts w:ascii="仿宋_GB2312" w:hAnsi="宋体"/>
                <w:color w:val="000000"/>
                <w:sz w:val="20"/>
                <w:szCs w:val="20"/>
                <w:lang w:val="en-US" w:bidi="ar-SA"/>
              </w:rPr>
            </w:pPr>
            <w:r>
              <w:rPr>
                <w:rFonts w:hint="eastAsia" w:ascii="仿宋_GB2312" w:hAnsi="宋体"/>
                <w:color w:val="000000"/>
                <w:sz w:val="20"/>
                <w:szCs w:val="20"/>
                <w:lang w:val="en-US" w:bidi="ar-SA"/>
              </w:rPr>
              <w:t>5</w:t>
            </w:r>
          </w:p>
        </w:tc>
      </w:tr>
    </w:tbl>
    <w:p>
      <w:pPr>
        <w:spacing w:beforeLines="100"/>
        <w:ind w:firstLine="560"/>
      </w:pPr>
      <w:r>
        <w:rPr>
          <w:rFonts w:hint="eastAsia"/>
        </w:rPr>
        <w:t>①资金到位率：依据承德市财政局《关于批复20</w:t>
      </w:r>
      <w:r>
        <w:rPr>
          <w:rFonts w:hint="eastAsia"/>
          <w:lang w:val="en-US" w:eastAsia="zh-CN"/>
        </w:rPr>
        <w:t>21</w:t>
      </w:r>
      <w:r>
        <w:rPr>
          <w:rFonts w:hint="eastAsia"/>
        </w:rPr>
        <w:t>年市本级部门收支预算的通知》批复局机关及医保经办服务大厅运行项目经费预算</w:t>
      </w:r>
      <w:r>
        <w:rPr>
          <w:rFonts w:hint="eastAsia"/>
          <w:lang w:val="en-US" w:eastAsia="zh-CN"/>
        </w:rPr>
        <w:t>40</w:t>
      </w:r>
      <w:r>
        <w:rPr>
          <w:rFonts w:hint="eastAsia"/>
        </w:rPr>
        <w:t>万元</w:t>
      </w:r>
      <w:r>
        <w:rPr>
          <w:rFonts w:hint="eastAsia"/>
          <w:lang w:eastAsia="zh-CN"/>
        </w:rPr>
        <w:t>，截至</w:t>
      </w:r>
      <w:r>
        <w:rPr>
          <w:rFonts w:hint="eastAsia"/>
          <w:lang w:val="en-US" w:eastAsia="zh-CN"/>
        </w:rPr>
        <w:t>2021年12月底，财政拨款已全部到账。</w:t>
      </w:r>
      <w:r>
        <w:rPr>
          <w:rFonts w:hint="eastAsia"/>
        </w:rPr>
        <w:t>资金到位率100%，根据评分标准，该指标得</w:t>
      </w:r>
      <w:r>
        <w:rPr>
          <w:rFonts w:hint="eastAsia"/>
          <w:lang w:val="en-US" w:eastAsia="zh-CN"/>
        </w:rPr>
        <w:t>5</w:t>
      </w:r>
      <w:r>
        <w:rPr>
          <w:rFonts w:hint="eastAsia"/>
        </w:rPr>
        <w:t>分。</w:t>
      </w:r>
    </w:p>
    <w:p>
      <w:pPr>
        <w:ind w:firstLine="560"/>
      </w:pPr>
      <w:r>
        <w:rPr>
          <w:rFonts w:hint="eastAsia" w:ascii="宋体" w:hAnsi="宋体" w:eastAsia="宋体"/>
        </w:rPr>
        <w:t>②</w:t>
      </w:r>
      <w:r>
        <w:rPr>
          <w:rFonts w:hint="eastAsia"/>
        </w:rPr>
        <w:t>预算执行率：经核查，</w:t>
      </w:r>
      <w:r>
        <w:rPr>
          <w:rFonts w:hint="eastAsia"/>
          <w:lang w:val="en-US"/>
        </w:rPr>
        <w:t>截至</w:t>
      </w:r>
      <w:r>
        <w:rPr>
          <w:rFonts w:hint="eastAsia"/>
        </w:rPr>
        <w:t>20</w:t>
      </w:r>
      <w:r>
        <w:rPr>
          <w:rFonts w:hint="eastAsia"/>
          <w:lang w:val="en-US" w:eastAsia="zh-CN"/>
        </w:rPr>
        <w:t>21</w:t>
      </w:r>
      <w:r>
        <w:rPr>
          <w:rFonts w:hint="eastAsia"/>
        </w:rPr>
        <w:t>年12月31日，</w:t>
      </w:r>
      <w:r>
        <w:rPr>
          <w:rFonts w:hint="eastAsia"/>
          <w:lang w:eastAsia="zh-CN"/>
        </w:rPr>
        <w:t>医保经办服务大厅运行经费</w:t>
      </w:r>
      <w:r>
        <w:rPr>
          <w:rFonts w:hint="eastAsia"/>
        </w:rPr>
        <w:t>实际到位资金</w:t>
      </w:r>
      <w:r>
        <w:rPr>
          <w:rFonts w:hint="eastAsia"/>
          <w:lang w:val="en-US" w:eastAsia="zh-CN"/>
        </w:rPr>
        <w:t>4</w:t>
      </w:r>
      <w:r>
        <w:rPr>
          <w:rFonts w:hint="eastAsia"/>
        </w:rPr>
        <w:t>0万元，实际支出资金</w:t>
      </w:r>
      <w:r>
        <w:rPr>
          <w:rFonts w:hint="eastAsia"/>
          <w:lang w:val="en-US" w:eastAsia="zh-CN"/>
        </w:rPr>
        <w:t>40</w:t>
      </w:r>
      <w:r>
        <w:rPr>
          <w:rFonts w:hint="eastAsia"/>
        </w:rPr>
        <w:t>万元，执行率为</w:t>
      </w:r>
      <w:r>
        <w:rPr>
          <w:rFonts w:hint="eastAsia"/>
          <w:lang w:val="en-US" w:eastAsia="zh-CN"/>
        </w:rPr>
        <w:t>100</w:t>
      </w:r>
      <w:r>
        <w:rPr>
          <w:rFonts w:hint="eastAsia"/>
        </w:rPr>
        <w:t>%，根据评分标准，该指标得</w:t>
      </w:r>
      <w:r>
        <w:rPr>
          <w:rFonts w:hint="eastAsia"/>
          <w:lang w:val="en-US" w:eastAsia="zh-CN"/>
        </w:rPr>
        <w:t>5</w:t>
      </w:r>
      <w:r>
        <w:rPr>
          <w:rFonts w:hint="eastAsia"/>
        </w:rPr>
        <w:t>分。</w:t>
      </w:r>
    </w:p>
    <w:p>
      <w:pPr>
        <w:ind w:firstLine="560"/>
      </w:pPr>
      <w:r>
        <w:rPr>
          <w:rFonts w:hint="eastAsia" w:ascii="仿宋_GB2312"/>
          <w:szCs w:val="28"/>
        </w:rPr>
        <w:t>③资金使用合规性</w:t>
      </w:r>
      <w:r>
        <w:rPr>
          <w:rFonts w:hint="eastAsia" w:ascii="仿宋_GB2312"/>
          <w:szCs w:val="28"/>
          <w:lang w:eastAsia="zh-CN"/>
        </w:rPr>
        <w:t>：</w:t>
      </w:r>
      <w:r>
        <w:rPr>
          <w:rFonts w:hint="eastAsia"/>
        </w:rPr>
        <w:t>本项目资金使用符合国家财经法规和财务管理制度以及《承德市医疗保障局财务管理办法》的规定，资金的支付有着严格的审批程序，任何款项支出须经申请科室、财务审核、科室分管领导、财务分管领导签字审批，方可支付；资金使用符合项目预算批复、合同规定的用途，不存在截留、挤占、挪用、虚列支出等情况</w:t>
      </w:r>
      <w:r>
        <w:rPr>
          <w:rFonts w:hint="eastAsia"/>
          <w:lang w:eastAsia="zh-CN"/>
        </w:rPr>
        <w:t>，</w:t>
      </w:r>
      <w:r>
        <w:t>会计核算规范。</w:t>
      </w:r>
      <w:r>
        <w:rPr>
          <w:rFonts w:hint="eastAsia"/>
        </w:rPr>
        <w:t>根据评分标准，得5分。</w:t>
      </w:r>
    </w:p>
    <w:p>
      <w:pPr>
        <w:spacing w:line="240" w:lineRule="auto"/>
        <w:ind w:firstLine="560"/>
        <w:rPr>
          <w:rFonts w:eastAsiaTheme="minorEastAsia"/>
        </w:rPr>
      </w:pPr>
      <w:r>
        <w:rPr>
          <w:rFonts w:hint="eastAsia" w:eastAsiaTheme="minorEastAsia"/>
        </w:rPr>
        <w:t>（2）</w:t>
      </w:r>
      <w:r>
        <w:rPr>
          <w:rFonts w:hint="eastAsia"/>
        </w:rPr>
        <w:t>组织实施方面：满分15分，得1</w:t>
      </w:r>
      <w:r>
        <w:rPr>
          <w:rFonts w:hint="eastAsia"/>
          <w:lang w:val="en-US" w:eastAsia="zh-CN"/>
        </w:rPr>
        <w:t>4</w:t>
      </w:r>
      <w:r>
        <w:rPr>
          <w:rFonts w:hint="eastAsia"/>
        </w:rPr>
        <w:t>分。</w:t>
      </w:r>
    </w:p>
    <w:tbl>
      <w:tblPr>
        <w:tblStyle w:val="18"/>
        <w:tblW w:w="8296"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800"/>
        <w:gridCol w:w="1599"/>
        <w:gridCol w:w="3333"/>
        <w:gridCol w:w="66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9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00"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59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333"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665"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800"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99"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组织实施</w:t>
            </w:r>
          </w:p>
        </w:tc>
        <w:tc>
          <w:tcPr>
            <w:tcW w:w="800" w:type="dxa"/>
            <w:vMerge w:val="restart"/>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15</w:t>
            </w:r>
          </w:p>
        </w:tc>
        <w:tc>
          <w:tcPr>
            <w:tcW w:w="1599"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管理制度健全性</w:t>
            </w:r>
          </w:p>
        </w:tc>
        <w:tc>
          <w:tcPr>
            <w:tcW w:w="3333"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用以反映和考核财务和业务管理制度对项目顺利实施的保障情况。</w:t>
            </w:r>
          </w:p>
        </w:tc>
        <w:tc>
          <w:tcPr>
            <w:tcW w:w="665" w:type="dxa"/>
            <w:vAlign w:val="center"/>
          </w:tcPr>
          <w:p>
            <w:pPr>
              <w:widowControl/>
              <w:topLinePunct w:val="0"/>
              <w:spacing w:line="240" w:lineRule="auto"/>
              <w:ind w:firstLine="0" w:firstLineChars="0"/>
              <w:jc w:val="center"/>
              <w:rPr>
                <w:rFonts w:hint="default" w:ascii="仿宋_GB2312" w:hAnsi="宋体" w:eastAsia="仿宋_GB2312"/>
                <w:color w:val="000000"/>
                <w:sz w:val="20"/>
                <w:szCs w:val="20"/>
                <w:lang w:val="en-US" w:eastAsia="zh-CN" w:bidi="ar-SA"/>
              </w:rPr>
            </w:pPr>
            <w:r>
              <w:rPr>
                <w:rFonts w:hint="eastAsia" w:ascii="仿宋_GB2312" w:hAnsi="宋体"/>
                <w:color w:val="000000"/>
                <w:sz w:val="20"/>
                <w:szCs w:val="20"/>
                <w:lang w:val="en-US" w:eastAsia="zh-CN" w:bidi="ar-SA"/>
              </w:rPr>
              <w:t>8</w:t>
            </w:r>
          </w:p>
        </w:tc>
        <w:tc>
          <w:tcPr>
            <w:tcW w:w="800" w:type="dxa"/>
            <w:vAlign w:val="center"/>
          </w:tcPr>
          <w:p>
            <w:pPr>
              <w:widowControl/>
              <w:topLinePunct w:val="0"/>
              <w:spacing w:line="240" w:lineRule="auto"/>
              <w:ind w:firstLine="0" w:firstLineChars="0"/>
              <w:jc w:val="center"/>
              <w:rPr>
                <w:rFonts w:hint="default" w:ascii="仿宋_GB2312" w:hAnsi="宋体" w:eastAsia="仿宋_GB2312"/>
                <w:color w:val="000000"/>
                <w:sz w:val="20"/>
                <w:szCs w:val="20"/>
                <w:lang w:val="en-US" w:eastAsia="zh-CN" w:bidi="ar-SA"/>
              </w:rPr>
            </w:pPr>
            <w:r>
              <w:rPr>
                <w:rFonts w:hint="eastAsia" w:ascii="仿宋_GB2312" w:hAnsi="宋体"/>
                <w:color w:val="000000"/>
                <w:sz w:val="20"/>
                <w:szCs w:val="20"/>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99"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800" w:type="dxa"/>
            <w:vMerge w:val="continue"/>
            <w:vAlign w:val="center"/>
          </w:tcPr>
          <w:p>
            <w:pPr>
              <w:widowControl/>
              <w:topLinePunct w:val="0"/>
              <w:spacing w:line="240" w:lineRule="auto"/>
              <w:ind w:firstLine="0" w:firstLineChars="0"/>
              <w:jc w:val="left"/>
              <w:rPr>
                <w:rFonts w:ascii="仿宋_GB2312" w:hAnsi="宋体"/>
                <w:sz w:val="20"/>
                <w:szCs w:val="20"/>
                <w:lang w:val="en-US" w:bidi="ar-SA"/>
              </w:rPr>
            </w:pPr>
          </w:p>
        </w:tc>
        <w:tc>
          <w:tcPr>
            <w:tcW w:w="1599" w:type="dxa"/>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监管有效性</w:t>
            </w:r>
          </w:p>
        </w:tc>
        <w:tc>
          <w:tcPr>
            <w:tcW w:w="3333" w:type="dxa"/>
            <w:vAlign w:val="center"/>
          </w:tcPr>
          <w:p>
            <w:pPr>
              <w:widowControl/>
              <w:topLinePunct w:val="0"/>
              <w:spacing w:line="240" w:lineRule="auto"/>
              <w:ind w:firstLine="0" w:firstLineChars="0"/>
              <w:rPr>
                <w:rFonts w:ascii="仿宋_GB2312" w:hAnsi="宋体"/>
                <w:color w:val="000000"/>
                <w:sz w:val="18"/>
                <w:szCs w:val="18"/>
                <w:lang w:val="en-US" w:bidi="ar-SA"/>
              </w:rPr>
            </w:pPr>
            <w:r>
              <w:rPr>
                <w:rFonts w:hint="eastAsia" w:ascii="仿宋_GB2312" w:hAnsi="宋体"/>
                <w:color w:val="000000"/>
                <w:sz w:val="18"/>
                <w:szCs w:val="18"/>
                <w:lang w:val="en-US" w:bidi="ar-SA"/>
              </w:rPr>
              <w:t>考察对</w:t>
            </w:r>
            <w:r>
              <w:rPr>
                <w:rFonts w:hint="eastAsia" w:ascii="仿宋_GB2312" w:hAnsi="宋体"/>
                <w:color w:val="000000"/>
                <w:sz w:val="18"/>
                <w:szCs w:val="18"/>
                <w:lang w:val="en-US" w:eastAsia="zh-CN" w:bidi="ar-SA"/>
              </w:rPr>
              <w:t>医保大厅运行</w:t>
            </w:r>
            <w:r>
              <w:rPr>
                <w:rFonts w:hint="eastAsia" w:ascii="仿宋_GB2312" w:hAnsi="宋体"/>
                <w:color w:val="000000"/>
                <w:sz w:val="18"/>
                <w:szCs w:val="18"/>
                <w:lang w:val="en-US" w:bidi="ar-SA"/>
              </w:rPr>
              <w:t>工作监管情况。</w:t>
            </w:r>
          </w:p>
        </w:tc>
        <w:tc>
          <w:tcPr>
            <w:tcW w:w="665" w:type="dxa"/>
            <w:vAlign w:val="center"/>
          </w:tcPr>
          <w:p>
            <w:pPr>
              <w:widowControl/>
              <w:topLinePunct w:val="0"/>
              <w:spacing w:line="240" w:lineRule="auto"/>
              <w:ind w:firstLine="0" w:firstLineChars="0"/>
              <w:jc w:val="center"/>
              <w:rPr>
                <w:rFonts w:hint="eastAsia" w:ascii="仿宋_GB2312" w:hAnsi="宋体" w:eastAsia="仿宋_GB2312"/>
                <w:color w:val="000000"/>
                <w:sz w:val="20"/>
                <w:szCs w:val="20"/>
                <w:lang w:val="en-US" w:eastAsia="zh-CN" w:bidi="ar-SA"/>
              </w:rPr>
            </w:pPr>
            <w:r>
              <w:rPr>
                <w:rFonts w:hint="eastAsia" w:ascii="仿宋_GB2312" w:hAnsi="宋体"/>
                <w:color w:val="000000"/>
                <w:sz w:val="20"/>
                <w:szCs w:val="20"/>
                <w:lang w:val="en-US" w:eastAsia="zh-CN" w:bidi="ar-SA"/>
              </w:rPr>
              <w:t>7</w:t>
            </w:r>
          </w:p>
        </w:tc>
        <w:tc>
          <w:tcPr>
            <w:tcW w:w="800" w:type="dxa"/>
            <w:vAlign w:val="center"/>
          </w:tcPr>
          <w:p>
            <w:pPr>
              <w:widowControl/>
              <w:topLinePunct w:val="0"/>
              <w:spacing w:line="240" w:lineRule="auto"/>
              <w:ind w:firstLine="0" w:firstLineChars="0"/>
              <w:jc w:val="center"/>
              <w:rPr>
                <w:rFonts w:hint="eastAsia" w:ascii="仿宋_GB2312" w:hAnsi="宋体" w:eastAsia="仿宋_GB2312"/>
                <w:color w:val="000000"/>
                <w:sz w:val="20"/>
                <w:szCs w:val="20"/>
                <w:lang w:val="en-US" w:eastAsia="zh-CN" w:bidi="ar-SA"/>
              </w:rPr>
            </w:pPr>
            <w:r>
              <w:rPr>
                <w:rFonts w:hint="eastAsia" w:ascii="仿宋_GB2312" w:hAnsi="宋体"/>
                <w:color w:val="000000"/>
                <w:sz w:val="20"/>
                <w:szCs w:val="20"/>
                <w:lang w:val="en-US" w:eastAsia="zh-CN" w:bidi="ar-SA"/>
              </w:rPr>
              <w:t>6</w:t>
            </w:r>
          </w:p>
        </w:tc>
      </w:tr>
    </w:tbl>
    <w:p>
      <w:pPr>
        <w:spacing w:beforeLines="100"/>
        <w:ind w:firstLine="560"/>
      </w:pPr>
      <w:r>
        <w:rPr>
          <w:rFonts w:hint="eastAsia" w:ascii="仿宋_GB2312" w:hAnsi="宋体"/>
        </w:rPr>
        <w:t>①</w:t>
      </w:r>
      <w:r>
        <w:rPr>
          <w:rFonts w:hint="eastAsia"/>
        </w:rPr>
        <w:t>管理制度健全性：为了加强和规范内部控制，提高管理水平和风险防范能力，保证项目资金安全，</w:t>
      </w:r>
      <w:r>
        <w:rPr>
          <w:rFonts w:hint="eastAsia"/>
          <w:lang w:eastAsia="zh-CN"/>
        </w:rPr>
        <w:t>承德市医疗保障局</w:t>
      </w:r>
      <w:r>
        <w:rPr>
          <w:rFonts w:hint="eastAsia"/>
        </w:rPr>
        <w:t>结合自身情况，制定了《财务管理制度》</w:t>
      </w:r>
      <w:r>
        <w:rPr>
          <w:rFonts w:hint="eastAsia"/>
          <w:lang w:eastAsia="zh-CN"/>
        </w:rPr>
        <w:t>，对项目资金的申请与审核严格把关，明确职责分工、工作制度、工作流程等</w:t>
      </w:r>
      <w:r>
        <w:rPr>
          <w:rFonts w:hint="eastAsia"/>
        </w:rPr>
        <w:t>。根据评分标准，得</w:t>
      </w:r>
      <w:r>
        <w:rPr>
          <w:rFonts w:hint="eastAsia"/>
          <w:lang w:val="en-US" w:eastAsia="zh-CN"/>
        </w:rPr>
        <w:t>8</w:t>
      </w:r>
      <w:r>
        <w:rPr>
          <w:rFonts w:hint="eastAsia"/>
        </w:rPr>
        <w:t>分。</w:t>
      </w:r>
    </w:p>
    <w:p>
      <w:pPr>
        <w:ind w:firstLine="560"/>
      </w:pPr>
      <w:r>
        <w:rPr>
          <w:rFonts w:hint="eastAsia"/>
          <w:lang w:val="en-US" w:bidi="ar-SA"/>
        </w:rPr>
        <w:t>②</w:t>
      </w:r>
      <w:r>
        <w:rPr>
          <w:rFonts w:hint="eastAsia"/>
        </w:rPr>
        <w:t>监管有效性：</w:t>
      </w:r>
      <w:r>
        <w:rPr>
          <w:rFonts w:hint="eastAsia"/>
          <w:lang w:eastAsia="zh-CN"/>
        </w:rPr>
        <w:t>医疗保障局</w:t>
      </w:r>
      <w:r>
        <w:rPr>
          <w:rFonts w:hint="eastAsia"/>
        </w:rPr>
        <w:t>根据相应管理办法对</w:t>
      </w:r>
      <w:r>
        <w:rPr>
          <w:rFonts w:hint="eastAsia"/>
          <w:lang w:eastAsia="zh-CN"/>
        </w:rPr>
        <w:t>大厅卫生、物业服务，工作人员着装</w:t>
      </w:r>
      <w:r>
        <w:rPr>
          <w:rFonts w:hint="eastAsia"/>
        </w:rPr>
        <w:t>进行监管，</w:t>
      </w:r>
      <w:r>
        <w:rPr>
          <w:rFonts w:hint="eastAsia"/>
          <w:lang w:eastAsia="zh-CN"/>
        </w:rPr>
        <w:t>但是</w:t>
      </w:r>
      <w:r>
        <w:rPr>
          <w:rFonts w:hint="eastAsia"/>
        </w:rPr>
        <w:t>经现场核查，</w:t>
      </w:r>
      <w:r>
        <w:rPr>
          <w:rFonts w:hint="eastAsia"/>
          <w:lang w:eastAsia="zh-CN"/>
        </w:rPr>
        <w:t>缺少相应的监督管理制度</w:t>
      </w:r>
      <w:r>
        <w:rPr>
          <w:rFonts w:hint="eastAsia"/>
        </w:rPr>
        <w:t>，根据评分标准，得</w:t>
      </w:r>
      <w:r>
        <w:rPr>
          <w:rFonts w:hint="eastAsia"/>
          <w:lang w:val="en-US" w:eastAsia="zh-CN"/>
        </w:rPr>
        <w:t>6</w:t>
      </w:r>
      <w:r>
        <w:rPr>
          <w:rFonts w:hint="eastAsia"/>
        </w:rPr>
        <w:t>分</w:t>
      </w:r>
      <w:r>
        <w:rPr>
          <w:rFonts w:hint="eastAsia"/>
          <w:lang w:eastAsia="zh-CN"/>
        </w:rPr>
        <w:t>，扣</w:t>
      </w:r>
      <w:r>
        <w:rPr>
          <w:rFonts w:hint="eastAsia"/>
          <w:lang w:val="en-US" w:eastAsia="zh-CN"/>
        </w:rPr>
        <w:t>1分</w:t>
      </w:r>
      <w:r>
        <w:rPr>
          <w:rFonts w:hint="eastAsia"/>
        </w:rPr>
        <w:t>。</w:t>
      </w:r>
    </w:p>
    <w:p>
      <w:pPr>
        <w:pStyle w:val="4"/>
        <w:spacing w:before="120"/>
        <w:ind w:firstLine="562"/>
        <w:rPr>
          <w:rFonts w:ascii="黑体" w:hAnsi="黑体" w:cs="黑体"/>
          <w:szCs w:val="28"/>
        </w:rPr>
      </w:pPr>
      <w:bookmarkStart w:id="24" w:name="_Toc45292271"/>
      <w:r>
        <w:rPr>
          <w:rFonts w:hint="eastAsia" w:ascii="黑体" w:hAnsi="黑体" w:cs="黑体"/>
          <w:szCs w:val="28"/>
        </w:rPr>
        <w:t>（三）项目产出情况</w:t>
      </w:r>
      <w:bookmarkEnd w:id="24"/>
    </w:p>
    <w:p>
      <w:pPr>
        <w:topLinePunct w:val="0"/>
        <w:spacing w:afterLines="50"/>
        <w:ind w:firstLine="560"/>
      </w:pPr>
      <w:r>
        <w:t>项目</w:t>
      </w:r>
      <w:r>
        <w:rPr>
          <w:rFonts w:hint="eastAsia"/>
        </w:rPr>
        <w:t>产出包含产出数量、产出质量、产出时效及产出成本四</w:t>
      </w:r>
      <w:r>
        <w:t>个方面，指标总分</w:t>
      </w:r>
      <w:r>
        <w:rPr>
          <w:rFonts w:hint="eastAsia"/>
        </w:rPr>
        <w:t>30</w:t>
      </w:r>
      <w:r>
        <w:t>分，评价得分</w:t>
      </w:r>
      <w:r>
        <w:rPr>
          <w:rFonts w:hint="eastAsia"/>
        </w:rPr>
        <w:t>2</w:t>
      </w:r>
      <w:r>
        <w:rPr>
          <w:rFonts w:hint="eastAsia"/>
          <w:lang w:val="en-US" w:eastAsia="zh-CN"/>
        </w:rPr>
        <w:t>7</w:t>
      </w:r>
      <w:r>
        <w:t>分，得分率</w:t>
      </w:r>
      <w:r>
        <w:rPr>
          <w:rFonts w:hint="eastAsia"/>
          <w:lang w:val="en-US" w:eastAsia="zh-CN"/>
        </w:rPr>
        <w:t>90</w:t>
      </w:r>
      <w:r>
        <w:t>%。</w:t>
      </w:r>
      <w:r>
        <w:rPr>
          <w:rFonts w:hint="eastAsia"/>
        </w:rPr>
        <w:t>各分项指标得分和绩效分析如下：</w:t>
      </w:r>
    </w:p>
    <w:p>
      <w:pPr>
        <w:spacing w:line="240" w:lineRule="auto"/>
        <w:ind w:firstLine="560"/>
        <w:rPr>
          <w:rFonts w:ascii="仿宋_GB2312"/>
        </w:rPr>
      </w:pPr>
      <w:r>
        <w:rPr>
          <w:rFonts w:hint="eastAsia" w:ascii="仿宋_GB2312"/>
        </w:rPr>
        <w:t>（1）产出数量指标：满分1</w:t>
      </w:r>
      <w:r>
        <w:rPr>
          <w:rFonts w:hint="eastAsia" w:ascii="仿宋_GB2312"/>
          <w:lang w:val="en-US"/>
        </w:rPr>
        <w:t>5</w:t>
      </w:r>
      <w:r>
        <w:rPr>
          <w:rFonts w:hint="eastAsia" w:ascii="仿宋_GB2312"/>
        </w:rPr>
        <w:t>分，得1</w:t>
      </w:r>
      <w:r>
        <w:rPr>
          <w:rFonts w:hint="eastAsia" w:ascii="仿宋_GB2312"/>
          <w:lang w:val="en-US" w:eastAsia="zh-CN"/>
        </w:rPr>
        <w:t>1</w:t>
      </w:r>
      <w:r>
        <w:rPr>
          <w:rFonts w:hint="eastAsia" w:ascii="仿宋_GB2312"/>
        </w:rPr>
        <w:t>分。</w:t>
      </w:r>
    </w:p>
    <w:tbl>
      <w:tblPr>
        <w:tblStyle w:val="1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843"/>
        <w:gridCol w:w="340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843"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402"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0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产出数量</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15</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eastAsia="zh-CN" w:bidi="ar-SA"/>
              </w:rPr>
              <w:t>大厅保洁</w:t>
            </w:r>
            <w:r>
              <w:rPr>
                <w:rFonts w:hint="eastAsia" w:ascii="仿宋_GB2312" w:hAnsi="宋体"/>
                <w:sz w:val="20"/>
                <w:szCs w:val="20"/>
                <w:lang w:val="en-US" w:bidi="ar-SA"/>
              </w:rPr>
              <w:t>面积</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考察</w:t>
            </w:r>
            <w:r>
              <w:rPr>
                <w:rFonts w:hint="eastAsia" w:ascii="仿宋_GB2312" w:hAnsi="宋体"/>
                <w:sz w:val="20"/>
                <w:szCs w:val="20"/>
                <w:lang w:val="en-US" w:eastAsia="zh-CN" w:bidi="ar-SA"/>
              </w:rPr>
              <w:t>医保大厅保洁</w:t>
            </w:r>
            <w:r>
              <w:rPr>
                <w:rFonts w:hint="eastAsia" w:ascii="仿宋_GB2312" w:hAnsi="宋体"/>
                <w:sz w:val="20"/>
                <w:szCs w:val="20"/>
                <w:lang w:val="en-US" w:bidi="ar-SA"/>
              </w:rPr>
              <w:t>面积</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5</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184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购买工服数量</w:t>
            </w:r>
          </w:p>
        </w:tc>
        <w:tc>
          <w:tcPr>
            <w:tcW w:w="3402"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考察</w:t>
            </w:r>
            <w:r>
              <w:rPr>
                <w:rFonts w:hint="eastAsia" w:ascii="仿宋_GB2312" w:hAnsi="宋体"/>
                <w:sz w:val="20"/>
                <w:szCs w:val="20"/>
                <w:lang w:val="en-US" w:eastAsia="zh-CN" w:bidi="ar-SA"/>
              </w:rPr>
              <w:t>购买工作人员工作服装</w:t>
            </w:r>
            <w:r>
              <w:rPr>
                <w:rFonts w:hint="eastAsia" w:ascii="仿宋_GB2312" w:hAnsi="宋体"/>
                <w:sz w:val="20"/>
                <w:szCs w:val="20"/>
                <w:lang w:val="en-US" w:bidi="ar-SA"/>
              </w:rPr>
              <w:t>的数量</w:t>
            </w:r>
          </w:p>
        </w:tc>
        <w:tc>
          <w:tcPr>
            <w:tcW w:w="708"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5</w:t>
            </w:r>
          </w:p>
        </w:tc>
        <w:tc>
          <w:tcPr>
            <w:tcW w:w="709"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184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eastAsia="zh-CN" w:bidi="ar-SA"/>
              </w:rPr>
              <w:t>电梯维护</w:t>
            </w:r>
            <w:r>
              <w:rPr>
                <w:rFonts w:hint="eastAsia" w:ascii="仿宋_GB2312" w:hAnsi="宋体"/>
                <w:sz w:val="20"/>
                <w:szCs w:val="20"/>
                <w:lang w:val="en-US" w:bidi="ar-SA"/>
              </w:rPr>
              <w:t>频率</w:t>
            </w:r>
          </w:p>
        </w:tc>
        <w:tc>
          <w:tcPr>
            <w:tcW w:w="3402"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考察</w:t>
            </w:r>
            <w:r>
              <w:rPr>
                <w:rFonts w:hint="eastAsia" w:ascii="仿宋_GB2312" w:hAnsi="宋体"/>
                <w:sz w:val="20"/>
                <w:szCs w:val="20"/>
                <w:lang w:val="en-US" w:eastAsia="zh-CN" w:bidi="ar-SA"/>
              </w:rPr>
              <w:t>全年电梯维修、维护</w:t>
            </w:r>
            <w:r>
              <w:rPr>
                <w:rFonts w:hint="eastAsia" w:ascii="仿宋_GB2312" w:hAnsi="宋体"/>
                <w:sz w:val="20"/>
                <w:szCs w:val="20"/>
                <w:lang w:val="en-US" w:bidi="ar-SA"/>
              </w:rPr>
              <w:t>的次数</w:t>
            </w:r>
          </w:p>
        </w:tc>
        <w:tc>
          <w:tcPr>
            <w:tcW w:w="708"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5</w:t>
            </w:r>
          </w:p>
        </w:tc>
        <w:tc>
          <w:tcPr>
            <w:tcW w:w="709"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3</w:t>
            </w:r>
          </w:p>
        </w:tc>
      </w:tr>
    </w:tbl>
    <w:p>
      <w:pPr>
        <w:spacing w:beforeLines="100"/>
        <w:ind w:firstLine="560"/>
      </w:pPr>
      <w:r>
        <w:rPr>
          <w:rFonts w:hint="eastAsia"/>
        </w:rPr>
        <w:t>①</w:t>
      </w:r>
      <w:r>
        <w:rPr>
          <w:rFonts w:hint="eastAsia"/>
          <w:lang w:val="en-US" w:eastAsia="zh-CN"/>
        </w:rPr>
        <w:t>大厅保洁</w:t>
      </w:r>
      <w:r>
        <w:rPr>
          <w:rFonts w:hint="eastAsia"/>
          <w:lang w:val="en-US"/>
        </w:rPr>
        <w:t>面积</w:t>
      </w:r>
      <w:r>
        <w:rPr>
          <w:rFonts w:hint="eastAsia"/>
        </w:rPr>
        <w:t>：该指标</w:t>
      </w:r>
      <w:r>
        <w:rPr>
          <w:rFonts w:hint="eastAsia"/>
          <w:lang w:val="en-US" w:eastAsia="zh-CN"/>
        </w:rPr>
        <w:t>考察医保大厅保洁</w:t>
      </w:r>
      <w:r>
        <w:rPr>
          <w:rFonts w:hint="eastAsia"/>
          <w:lang w:val="en-US"/>
        </w:rPr>
        <w:t>面积</w:t>
      </w:r>
      <w:r>
        <w:rPr>
          <w:rFonts w:hint="eastAsia"/>
        </w:rPr>
        <w:t>，</w:t>
      </w:r>
      <w:r>
        <w:rPr>
          <w:rFonts w:hint="eastAsia"/>
          <w:lang w:eastAsia="zh-CN"/>
        </w:rPr>
        <w:t>根据小组评审，签订的物业合同中只要求“按甲方指定的范围和要求打扫清理卫生”并未明确保洁面积。</w:t>
      </w:r>
      <w:r>
        <w:rPr>
          <w:rFonts w:hint="eastAsia"/>
        </w:rPr>
        <w:t>根据评分标准，得</w:t>
      </w:r>
      <w:r>
        <w:rPr>
          <w:rFonts w:hint="eastAsia"/>
          <w:lang w:val="en-US" w:eastAsia="zh-CN"/>
        </w:rPr>
        <w:t>3</w:t>
      </w:r>
      <w:r>
        <w:rPr>
          <w:rFonts w:hint="eastAsia"/>
        </w:rPr>
        <w:t>分</w:t>
      </w:r>
      <w:r>
        <w:rPr>
          <w:rFonts w:hint="eastAsia"/>
          <w:lang w:eastAsia="zh-CN"/>
        </w:rPr>
        <w:t>，扣</w:t>
      </w:r>
      <w:r>
        <w:rPr>
          <w:rFonts w:hint="eastAsia"/>
          <w:lang w:val="en-US" w:eastAsia="zh-CN"/>
        </w:rPr>
        <w:t>2分</w:t>
      </w:r>
      <w:r>
        <w:rPr>
          <w:rFonts w:hint="eastAsia"/>
        </w:rPr>
        <w:t>。</w:t>
      </w:r>
    </w:p>
    <w:p>
      <w:pPr>
        <w:ind w:firstLine="560"/>
      </w:pPr>
      <w:r>
        <w:rPr>
          <w:rFonts w:hint="eastAsia"/>
        </w:rPr>
        <w:t>②</w:t>
      </w:r>
      <w:r>
        <w:rPr>
          <w:rFonts w:hint="eastAsia"/>
          <w:lang w:val="en-US" w:eastAsia="zh-CN"/>
        </w:rPr>
        <w:t>购买工服数量</w:t>
      </w:r>
      <w:r>
        <w:rPr>
          <w:rFonts w:hint="eastAsia"/>
        </w:rPr>
        <w:t>：</w:t>
      </w:r>
      <w:r>
        <w:rPr>
          <w:rFonts w:hint="eastAsia"/>
          <w:lang w:eastAsia="zh-CN"/>
        </w:rPr>
        <w:t>根据签订的合同，对服装品项、内容、数量、单价、总价有详细的说明，附有报价单</w:t>
      </w:r>
      <w:r>
        <w:rPr>
          <w:rFonts w:hint="eastAsia"/>
        </w:rPr>
        <w:t>。根据评分标准，得</w:t>
      </w:r>
      <w:r>
        <w:rPr>
          <w:rFonts w:hint="eastAsia"/>
          <w:lang w:val="en-US" w:eastAsia="zh-CN"/>
        </w:rPr>
        <w:t>5</w:t>
      </w:r>
      <w:r>
        <w:rPr>
          <w:rFonts w:hint="eastAsia"/>
        </w:rPr>
        <w:t>分。</w:t>
      </w:r>
    </w:p>
    <w:p>
      <w:pPr>
        <w:ind w:firstLine="560"/>
      </w:pPr>
      <w:r>
        <w:rPr>
          <w:rFonts w:hint="eastAsia"/>
        </w:rPr>
        <w:t>③</w:t>
      </w:r>
      <w:r>
        <w:rPr>
          <w:rFonts w:hint="eastAsia"/>
          <w:lang w:val="en-US" w:eastAsia="zh-CN"/>
        </w:rPr>
        <w:t>电梯维护频率</w:t>
      </w:r>
      <w:r>
        <w:rPr>
          <w:rFonts w:hint="eastAsia"/>
        </w:rPr>
        <w:t>：通过评价小组现场调研</w:t>
      </w:r>
      <w:r>
        <w:rPr>
          <w:rFonts w:hint="eastAsia"/>
          <w:lang w:eastAsia="zh-CN"/>
        </w:rPr>
        <w:t>，发现维修数据未及时登记</w:t>
      </w:r>
      <w:r>
        <w:rPr>
          <w:rFonts w:hint="eastAsia"/>
        </w:rPr>
        <w:t>。</w:t>
      </w:r>
      <w:r>
        <w:rPr>
          <w:rFonts w:hint="eastAsia"/>
          <w:lang w:eastAsia="zh-CN"/>
        </w:rPr>
        <w:t>对于《电梯维护保养规则》第七条规定“电梯维保单位进行电梯维保应当进行记录”，“维保记录应当经使用单位安全管理人员签字确认”。</w:t>
      </w:r>
      <w:r>
        <w:rPr>
          <w:rFonts w:hint="eastAsia"/>
        </w:rPr>
        <w:t>根据评分标准，得</w:t>
      </w:r>
      <w:r>
        <w:rPr>
          <w:rFonts w:hint="eastAsia"/>
          <w:lang w:val="en-US" w:eastAsia="zh-CN"/>
        </w:rPr>
        <w:t>3</w:t>
      </w:r>
      <w:r>
        <w:rPr>
          <w:rFonts w:hint="eastAsia"/>
        </w:rPr>
        <w:t>分</w:t>
      </w:r>
      <w:r>
        <w:rPr>
          <w:rFonts w:hint="eastAsia"/>
          <w:lang w:eastAsia="zh-CN"/>
        </w:rPr>
        <w:t>，扣</w:t>
      </w:r>
      <w:r>
        <w:rPr>
          <w:rFonts w:hint="eastAsia"/>
          <w:lang w:val="en-US" w:eastAsia="zh-CN"/>
        </w:rPr>
        <w:t>2分</w:t>
      </w:r>
      <w:r>
        <w:rPr>
          <w:rFonts w:hint="eastAsia"/>
        </w:rPr>
        <w:t>。</w:t>
      </w:r>
    </w:p>
    <w:p>
      <w:pPr>
        <w:pStyle w:val="2"/>
        <w:ind w:firstLine="0" w:firstLineChars="0"/>
        <w:rPr>
          <w:rFonts w:ascii="Times New Roman" w:hAnsi="Times New Roman" w:cs="宋体" w:eastAsiaTheme="minorEastAsia"/>
          <w:b w:val="0"/>
          <w:bCs w:val="0"/>
          <w:szCs w:val="22"/>
        </w:rPr>
      </w:pPr>
      <w:r>
        <w:rPr>
          <w:rFonts w:hint="eastAsia" w:ascii="仿宋_GB2312" w:hAnsi="Times New Roman" w:eastAsia="仿宋_GB2312" w:cs="宋体"/>
          <w:b w:val="0"/>
          <w:bCs w:val="0"/>
          <w:szCs w:val="22"/>
        </w:rPr>
        <w:t>（2）产出质量指标：满分</w:t>
      </w:r>
      <w:r>
        <w:rPr>
          <w:rFonts w:hint="eastAsia" w:ascii="仿宋_GB2312" w:hAnsi="Times New Roman" w:eastAsia="仿宋_GB2312" w:cs="宋体"/>
          <w:b w:val="0"/>
          <w:bCs w:val="0"/>
          <w:szCs w:val="22"/>
          <w:lang w:val="en-US"/>
        </w:rPr>
        <w:t>9</w:t>
      </w:r>
      <w:r>
        <w:rPr>
          <w:rFonts w:hint="eastAsia" w:ascii="仿宋_GB2312" w:hAnsi="Times New Roman" w:eastAsia="仿宋_GB2312" w:cs="宋体"/>
          <w:b w:val="0"/>
          <w:bCs w:val="0"/>
          <w:szCs w:val="22"/>
        </w:rPr>
        <w:t>分，得</w:t>
      </w:r>
      <w:r>
        <w:rPr>
          <w:rFonts w:hint="eastAsia" w:ascii="仿宋_GB2312" w:hAnsi="Times New Roman" w:eastAsia="仿宋_GB2312" w:cs="宋体"/>
          <w:b w:val="0"/>
          <w:bCs w:val="0"/>
          <w:szCs w:val="22"/>
          <w:lang w:val="en-US"/>
        </w:rPr>
        <w:t>9</w:t>
      </w:r>
      <w:r>
        <w:rPr>
          <w:rFonts w:hint="eastAsia" w:ascii="仿宋_GB2312" w:hAnsi="Times New Roman" w:eastAsia="仿宋_GB2312" w:cs="宋体"/>
          <w:b w:val="0"/>
          <w:bCs w:val="0"/>
          <w:szCs w:val="22"/>
        </w:rPr>
        <w:t>分。</w:t>
      </w:r>
    </w:p>
    <w:tbl>
      <w:tblPr>
        <w:tblStyle w:val="1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843"/>
        <w:gridCol w:w="340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843"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402"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0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产出质量</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9</w:t>
            </w:r>
          </w:p>
        </w:tc>
        <w:tc>
          <w:tcPr>
            <w:tcW w:w="184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eastAsia="zh-CN" w:bidi="ar-SA"/>
              </w:rPr>
              <w:t>购买工服</w:t>
            </w:r>
            <w:r>
              <w:rPr>
                <w:rFonts w:hint="eastAsia" w:ascii="仿宋_GB2312" w:hAnsi="宋体"/>
                <w:sz w:val="20"/>
                <w:szCs w:val="20"/>
                <w:lang w:val="en-US" w:bidi="ar-SA"/>
              </w:rPr>
              <w:t>合格率</w:t>
            </w:r>
          </w:p>
        </w:tc>
        <w:tc>
          <w:tcPr>
            <w:tcW w:w="3402"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考察</w:t>
            </w:r>
            <w:r>
              <w:rPr>
                <w:rFonts w:hint="eastAsia" w:ascii="仿宋_GB2312" w:hAnsi="宋体"/>
                <w:sz w:val="20"/>
                <w:szCs w:val="20"/>
                <w:lang w:val="en-US" w:eastAsia="zh-CN" w:bidi="ar-SA"/>
              </w:rPr>
              <w:t>购买的工服</w:t>
            </w:r>
            <w:r>
              <w:rPr>
                <w:rFonts w:hint="eastAsia" w:ascii="仿宋_GB2312" w:hAnsi="宋体"/>
                <w:sz w:val="20"/>
                <w:szCs w:val="20"/>
                <w:lang w:val="en-US" w:bidi="ar-SA"/>
              </w:rPr>
              <w:t>质量</w:t>
            </w:r>
          </w:p>
        </w:tc>
        <w:tc>
          <w:tcPr>
            <w:tcW w:w="708"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3</w:t>
            </w:r>
          </w:p>
        </w:tc>
        <w:tc>
          <w:tcPr>
            <w:tcW w:w="709"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184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经费支出准确率</w:t>
            </w:r>
          </w:p>
        </w:tc>
        <w:tc>
          <w:tcPr>
            <w:tcW w:w="3402"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考察</w:t>
            </w:r>
            <w:r>
              <w:rPr>
                <w:rFonts w:hint="eastAsia" w:ascii="仿宋_GB2312" w:hAnsi="宋体"/>
                <w:sz w:val="20"/>
                <w:szCs w:val="20"/>
                <w:lang w:val="en-US" w:eastAsia="zh-CN" w:bidi="ar-SA"/>
              </w:rPr>
              <w:t>各项运行经费支出的准确</w:t>
            </w:r>
            <w:r>
              <w:rPr>
                <w:rFonts w:hint="eastAsia" w:ascii="仿宋_GB2312" w:hAnsi="宋体"/>
                <w:sz w:val="20"/>
                <w:szCs w:val="20"/>
                <w:lang w:val="en-US" w:bidi="ar-SA"/>
              </w:rPr>
              <w:t>性</w:t>
            </w:r>
          </w:p>
        </w:tc>
        <w:tc>
          <w:tcPr>
            <w:tcW w:w="708"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3</w:t>
            </w:r>
          </w:p>
        </w:tc>
        <w:tc>
          <w:tcPr>
            <w:tcW w:w="709"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184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电梯故障率</w:t>
            </w:r>
          </w:p>
        </w:tc>
        <w:tc>
          <w:tcPr>
            <w:tcW w:w="3402"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反映</w:t>
            </w:r>
            <w:r>
              <w:rPr>
                <w:rFonts w:hint="eastAsia" w:ascii="仿宋_GB2312" w:hAnsi="宋体"/>
                <w:sz w:val="20"/>
                <w:szCs w:val="20"/>
                <w:lang w:val="en-US" w:eastAsia="zh-CN" w:bidi="ar-SA"/>
              </w:rPr>
              <w:t>电梯维护</w:t>
            </w:r>
            <w:r>
              <w:rPr>
                <w:rFonts w:hint="eastAsia" w:ascii="仿宋_GB2312" w:hAnsi="宋体"/>
                <w:sz w:val="20"/>
                <w:szCs w:val="20"/>
                <w:lang w:val="en-US" w:bidi="ar-SA"/>
              </w:rPr>
              <w:t>后</w:t>
            </w:r>
            <w:r>
              <w:rPr>
                <w:rFonts w:hint="eastAsia" w:ascii="仿宋_GB2312" w:hAnsi="宋体"/>
                <w:sz w:val="20"/>
                <w:szCs w:val="20"/>
                <w:lang w:val="en-US" w:eastAsia="zh-CN" w:bidi="ar-SA"/>
              </w:rPr>
              <w:t>出现故障</w:t>
            </w:r>
            <w:r>
              <w:rPr>
                <w:rFonts w:hint="eastAsia" w:ascii="仿宋_GB2312" w:hAnsi="宋体"/>
                <w:sz w:val="20"/>
                <w:szCs w:val="20"/>
                <w:lang w:val="en-US" w:bidi="ar-SA"/>
              </w:rPr>
              <w:t>情况</w:t>
            </w:r>
          </w:p>
        </w:tc>
        <w:tc>
          <w:tcPr>
            <w:tcW w:w="708"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3</w:t>
            </w:r>
          </w:p>
        </w:tc>
        <w:tc>
          <w:tcPr>
            <w:tcW w:w="709"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3</w:t>
            </w:r>
          </w:p>
        </w:tc>
      </w:tr>
    </w:tbl>
    <w:p>
      <w:pPr>
        <w:spacing w:beforeLines="50"/>
        <w:ind w:firstLine="560"/>
      </w:pPr>
      <w:r>
        <w:rPr>
          <w:rFonts w:hint="eastAsia"/>
        </w:rPr>
        <w:t>①</w:t>
      </w:r>
      <w:r>
        <w:rPr>
          <w:rFonts w:hint="eastAsia" w:ascii="仿宋_GB2312" w:hAnsi="Times New Roman" w:eastAsia="仿宋_GB2312" w:cs="宋体"/>
          <w:b w:val="0"/>
          <w:bCs w:val="0"/>
          <w:sz w:val="28"/>
          <w:szCs w:val="22"/>
          <w:lang w:val="en-US" w:eastAsia="zh-CN" w:bidi="zh-CN"/>
        </w:rPr>
        <w:t>购买工服合格率</w:t>
      </w:r>
      <w:r>
        <w:rPr>
          <w:rFonts w:hint="eastAsia"/>
        </w:rPr>
        <w:t>：根据</w:t>
      </w:r>
      <w:r>
        <w:rPr>
          <w:rFonts w:hint="eastAsia"/>
          <w:lang w:eastAsia="zh-CN"/>
        </w:rPr>
        <w:t>验收数据</w:t>
      </w:r>
      <w:r>
        <w:rPr>
          <w:rFonts w:hint="eastAsia"/>
        </w:rPr>
        <w:t>，</w:t>
      </w:r>
      <w:r>
        <w:rPr>
          <w:rFonts w:hint="eastAsia"/>
          <w:lang w:eastAsia="zh-CN"/>
        </w:rPr>
        <w:t>交付西服上衣</w:t>
      </w:r>
      <w:r>
        <w:rPr>
          <w:rFonts w:hint="eastAsia"/>
          <w:lang w:val="en-US" w:eastAsia="zh-CN"/>
        </w:rPr>
        <w:t>86件，西服裤子344件，衬衣短袖172件，衬衣长袖172件</w:t>
      </w:r>
      <w:r>
        <w:rPr>
          <w:rFonts w:hint="eastAsia"/>
        </w:rPr>
        <w:t>。根据评分标准，得</w:t>
      </w:r>
      <w:r>
        <w:rPr>
          <w:lang w:val="en-US"/>
        </w:rPr>
        <w:t>3</w:t>
      </w:r>
      <w:r>
        <w:rPr>
          <w:rFonts w:hint="eastAsia"/>
        </w:rPr>
        <w:t>分。</w:t>
      </w:r>
    </w:p>
    <w:p>
      <w:pPr>
        <w:ind w:firstLine="560"/>
      </w:pPr>
      <w:r>
        <w:rPr>
          <w:rFonts w:hint="eastAsia"/>
        </w:rPr>
        <w:t>②</w:t>
      </w:r>
      <w:r>
        <w:rPr>
          <w:rFonts w:hint="eastAsia"/>
          <w:lang w:val="en-US" w:eastAsia="zh-CN"/>
        </w:rPr>
        <w:t>经费支出准确率</w:t>
      </w:r>
      <w:r>
        <w:rPr>
          <w:rFonts w:hint="eastAsia"/>
        </w:rPr>
        <w:t>：</w:t>
      </w:r>
      <w:r>
        <w:rPr>
          <w:rFonts w:hint="eastAsia"/>
          <w:lang w:eastAsia="zh-CN"/>
        </w:rPr>
        <w:t>根据我局年初制定的工作计划与各项业务管理制度的相关要求，该项目各项支出严格遵循各项制度规定执行，未出现偏差</w:t>
      </w:r>
      <w:r>
        <w:rPr>
          <w:rFonts w:hint="eastAsia"/>
        </w:rPr>
        <w:t>。根据评分标准，得3分。</w:t>
      </w:r>
    </w:p>
    <w:p>
      <w:pPr>
        <w:ind w:firstLine="560"/>
        <w:rPr>
          <w:lang w:val="en-US"/>
        </w:rPr>
      </w:pPr>
      <w:r>
        <w:rPr>
          <w:rFonts w:hint="eastAsia"/>
        </w:rPr>
        <w:t>③</w:t>
      </w:r>
      <w:r>
        <w:rPr>
          <w:rFonts w:hint="eastAsia"/>
          <w:lang w:val="en-US" w:eastAsia="zh-CN"/>
        </w:rPr>
        <w:t>电梯故障率</w:t>
      </w:r>
      <w:r>
        <w:rPr>
          <w:rFonts w:hint="eastAsia"/>
        </w:rPr>
        <w:t>：通过现场核查</w:t>
      </w:r>
      <w:r>
        <w:rPr>
          <w:rFonts w:hint="eastAsia"/>
          <w:lang w:eastAsia="zh-CN"/>
        </w:rPr>
        <w:t>，电梯维护后未出现重大故障</w:t>
      </w:r>
      <w:r>
        <w:rPr>
          <w:rFonts w:hint="eastAsia"/>
        </w:rPr>
        <w:t>，</w:t>
      </w:r>
      <w:r>
        <w:rPr>
          <w:rFonts w:hint="eastAsia"/>
          <w:lang w:eastAsia="zh-CN"/>
        </w:rPr>
        <w:t>电梯维护保养符合国务院《特种设备安全监察条例》的规定。</w:t>
      </w:r>
      <w:r>
        <w:rPr>
          <w:rFonts w:hint="eastAsia"/>
        </w:rPr>
        <w:t>根据评分标准，得</w:t>
      </w:r>
      <w:r>
        <w:t>3</w:t>
      </w:r>
      <w:r>
        <w:rPr>
          <w:rFonts w:hint="eastAsia"/>
        </w:rPr>
        <w:t>分。</w:t>
      </w:r>
    </w:p>
    <w:p>
      <w:pPr>
        <w:pStyle w:val="2"/>
        <w:ind w:firstLine="0" w:firstLineChars="0"/>
        <w:rPr>
          <w:rFonts w:ascii="仿宋_GB2312" w:hAnsi="Times New Roman" w:eastAsia="仿宋_GB2312" w:cs="宋体"/>
          <w:b w:val="0"/>
          <w:bCs w:val="0"/>
          <w:szCs w:val="22"/>
        </w:rPr>
      </w:pPr>
      <w:r>
        <w:rPr>
          <w:rFonts w:hint="eastAsia" w:ascii="仿宋_GB2312" w:hAnsi="Times New Roman" w:eastAsia="仿宋_GB2312" w:cs="宋体"/>
          <w:b w:val="0"/>
          <w:bCs w:val="0"/>
          <w:szCs w:val="22"/>
        </w:rPr>
        <w:t>（3）产出时效指标：满分4分，得4分。</w:t>
      </w:r>
    </w:p>
    <w:tbl>
      <w:tblPr>
        <w:tblStyle w:val="1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843"/>
        <w:gridCol w:w="340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843"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402"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0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产出时效</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4</w:t>
            </w:r>
          </w:p>
        </w:tc>
        <w:tc>
          <w:tcPr>
            <w:tcW w:w="184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维修维护及时率</w:t>
            </w:r>
          </w:p>
        </w:tc>
        <w:tc>
          <w:tcPr>
            <w:tcW w:w="3402"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反映对</w:t>
            </w:r>
            <w:r>
              <w:rPr>
                <w:rFonts w:hint="eastAsia" w:ascii="仿宋_GB2312" w:hAnsi="宋体"/>
                <w:sz w:val="20"/>
                <w:szCs w:val="20"/>
                <w:lang w:val="en-US" w:eastAsia="zh-CN" w:bidi="ar-SA"/>
              </w:rPr>
              <w:t>电梯</w:t>
            </w:r>
            <w:r>
              <w:rPr>
                <w:rFonts w:hint="eastAsia" w:ascii="仿宋_GB2312" w:hAnsi="宋体"/>
                <w:sz w:val="20"/>
                <w:szCs w:val="20"/>
                <w:lang w:val="en-US" w:bidi="ar-SA"/>
              </w:rPr>
              <w:t>设施维修维护的及时性</w:t>
            </w:r>
          </w:p>
        </w:tc>
        <w:tc>
          <w:tcPr>
            <w:tcW w:w="708"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2</w:t>
            </w:r>
          </w:p>
        </w:tc>
        <w:tc>
          <w:tcPr>
            <w:tcW w:w="709"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851"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lang w:val="en-US" w:bidi="ar-SA"/>
              </w:rPr>
            </w:pPr>
          </w:p>
        </w:tc>
        <w:tc>
          <w:tcPr>
            <w:tcW w:w="184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eastAsia="zh-CN" w:bidi="ar-SA"/>
              </w:rPr>
              <w:t>资金支付</w:t>
            </w:r>
            <w:r>
              <w:rPr>
                <w:rFonts w:hint="eastAsia" w:ascii="仿宋_GB2312" w:hAnsi="宋体"/>
                <w:sz w:val="20"/>
                <w:szCs w:val="20"/>
                <w:lang w:val="en-US" w:bidi="ar-SA"/>
              </w:rPr>
              <w:t>及时率</w:t>
            </w:r>
          </w:p>
        </w:tc>
        <w:tc>
          <w:tcPr>
            <w:tcW w:w="3402"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bidi="ar-SA"/>
              </w:rPr>
              <w:t>反映</w:t>
            </w:r>
            <w:r>
              <w:rPr>
                <w:rFonts w:hint="eastAsia" w:ascii="仿宋_GB2312" w:hAnsi="宋体"/>
                <w:sz w:val="20"/>
                <w:szCs w:val="20"/>
                <w:lang w:val="en-US" w:eastAsia="zh-CN" w:bidi="ar-SA"/>
              </w:rPr>
              <w:t>是否按时间进度要求支付使用资金</w:t>
            </w:r>
          </w:p>
        </w:tc>
        <w:tc>
          <w:tcPr>
            <w:tcW w:w="708"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2</w:t>
            </w:r>
          </w:p>
        </w:tc>
        <w:tc>
          <w:tcPr>
            <w:tcW w:w="709"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2</w:t>
            </w:r>
          </w:p>
        </w:tc>
      </w:tr>
    </w:tbl>
    <w:p>
      <w:pPr>
        <w:spacing w:beforeLines="50"/>
        <w:ind w:firstLine="560"/>
      </w:pPr>
      <w:r>
        <w:rPr>
          <w:rFonts w:hint="eastAsia"/>
        </w:rPr>
        <w:t>①维护维修及时率：</w:t>
      </w:r>
      <w:r>
        <w:rPr>
          <w:rFonts w:hint="eastAsia"/>
          <w:lang w:eastAsia="zh-CN"/>
        </w:rPr>
        <w:t>电梯维修故障</w:t>
      </w:r>
      <w:r>
        <w:rPr>
          <w:rFonts w:hint="eastAsia"/>
        </w:rPr>
        <w:t>问题都已及时处理解决</w:t>
      </w:r>
      <w:r>
        <w:rPr>
          <w:rFonts w:hint="eastAsia"/>
          <w:lang w:eastAsia="zh-CN"/>
        </w:rPr>
        <w:t>，根据“电梯维修保养工作执行标准”，电梯维护后曳引电动机外形干净，无油垢，底盘无积油；磁铁接触开关无锈蚀、无油垢；井道底坑整洁</w:t>
      </w:r>
      <w:r>
        <w:rPr>
          <w:rFonts w:hint="eastAsia"/>
        </w:rPr>
        <w:t>。根据评分标准，该指标得2分。</w:t>
      </w:r>
    </w:p>
    <w:p>
      <w:pPr>
        <w:ind w:firstLine="560"/>
      </w:pPr>
      <w:r>
        <w:rPr>
          <w:rFonts w:hint="eastAsia"/>
        </w:rPr>
        <w:t>②</w:t>
      </w:r>
      <w:r>
        <w:rPr>
          <w:rFonts w:hint="eastAsia"/>
          <w:lang w:val="en-US" w:eastAsia="zh-CN"/>
        </w:rPr>
        <w:t>资金支付</w:t>
      </w:r>
      <w:r>
        <w:rPr>
          <w:rFonts w:hint="eastAsia"/>
          <w:lang w:val="en-US"/>
        </w:rPr>
        <w:t>及时率</w:t>
      </w:r>
      <w:r>
        <w:rPr>
          <w:rFonts w:hint="eastAsia"/>
        </w:rPr>
        <w:t>：根据</w:t>
      </w:r>
      <w:r>
        <w:rPr>
          <w:rFonts w:hint="eastAsia"/>
          <w:lang w:eastAsia="zh-CN"/>
        </w:rPr>
        <w:t>会计凭证</w:t>
      </w:r>
      <w:r>
        <w:rPr>
          <w:rFonts w:hint="eastAsia"/>
        </w:rPr>
        <w:t>数据，所有</w:t>
      </w:r>
      <w:r>
        <w:rPr>
          <w:rFonts w:hint="eastAsia"/>
          <w:lang w:eastAsia="zh-CN"/>
        </w:rPr>
        <w:t>资金均按照年初工作计划支出进度进行支付</w:t>
      </w:r>
      <w:r>
        <w:rPr>
          <w:rFonts w:hint="eastAsia"/>
        </w:rPr>
        <w:t>。根据评分标准，该指标得2分。</w:t>
      </w:r>
    </w:p>
    <w:p>
      <w:pPr>
        <w:pStyle w:val="2"/>
        <w:ind w:firstLine="0" w:firstLineChars="0"/>
        <w:rPr>
          <w:rFonts w:ascii="仿宋_GB2312" w:hAnsi="Times New Roman" w:eastAsia="仿宋_GB2312" w:cs="宋体"/>
          <w:b w:val="0"/>
          <w:bCs w:val="0"/>
          <w:szCs w:val="22"/>
        </w:rPr>
      </w:pPr>
      <w:r>
        <w:rPr>
          <w:rFonts w:hint="eastAsia" w:ascii="仿宋_GB2312" w:hAnsi="Times New Roman" w:eastAsia="仿宋_GB2312" w:cs="宋体"/>
          <w:b w:val="0"/>
          <w:bCs w:val="0"/>
          <w:szCs w:val="22"/>
        </w:rPr>
        <w:t>（4）产出成本指标：满分</w:t>
      </w:r>
      <w:r>
        <w:rPr>
          <w:rFonts w:hint="eastAsia" w:ascii="仿宋_GB2312" w:hAnsi="Times New Roman" w:eastAsia="仿宋_GB2312" w:cs="宋体"/>
          <w:b w:val="0"/>
          <w:bCs w:val="0"/>
          <w:szCs w:val="22"/>
          <w:lang w:val="en-US"/>
        </w:rPr>
        <w:t>2</w:t>
      </w:r>
      <w:r>
        <w:rPr>
          <w:rFonts w:hint="eastAsia" w:ascii="仿宋_GB2312" w:hAnsi="Times New Roman" w:eastAsia="仿宋_GB2312" w:cs="宋体"/>
          <w:b w:val="0"/>
          <w:bCs w:val="0"/>
          <w:szCs w:val="22"/>
        </w:rPr>
        <w:t>分，得</w:t>
      </w:r>
      <w:r>
        <w:rPr>
          <w:rFonts w:hint="eastAsia" w:ascii="仿宋_GB2312" w:hAnsi="Times New Roman" w:eastAsia="仿宋_GB2312" w:cs="宋体"/>
          <w:b w:val="0"/>
          <w:bCs w:val="0"/>
          <w:szCs w:val="22"/>
          <w:lang w:val="en-US" w:eastAsia="zh-CN"/>
        </w:rPr>
        <w:t>2</w:t>
      </w:r>
      <w:r>
        <w:rPr>
          <w:rFonts w:hint="eastAsia" w:ascii="仿宋_GB2312" w:hAnsi="Times New Roman" w:eastAsia="仿宋_GB2312" w:cs="宋体"/>
          <w:b w:val="0"/>
          <w:bCs w:val="0"/>
          <w:szCs w:val="22"/>
        </w:rPr>
        <w:t>分。</w:t>
      </w:r>
    </w:p>
    <w:tbl>
      <w:tblPr>
        <w:tblStyle w:val="1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843"/>
        <w:gridCol w:w="340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tcBorders>
              <w:bottom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tcBorders>
              <w:bottom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843" w:type="dxa"/>
            <w:tcBorders>
              <w:bottom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402" w:type="dxa"/>
            <w:tcBorders>
              <w:bottom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tcBorders>
              <w:bottom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09" w:type="dxa"/>
            <w:tcBorders>
              <w:bottom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eastAsia="zh-CN" w:bidi="ar-SA"/>
              </w:rPr>
              <w:t>产出成本</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lang w:val="en-US" w:eastAsia="zh-CN" w:bidi="ar-SA"/>
              </w:rPr>
            </w:pPr>
            <w:r>
              <w:rPr>
                <w:rFonts w:hint="eastAsia" w:ascii="仿宋_GB2312" w:hAnsi="宋体"/>
                <w:sz w:val="20"/>
                <w:szCs w:val="20"/>
                <w:lang w:val="en-US" w:eastAsia="zh-CN" w:bidi="ar-SA"/>
              </w:rPr>
              <w:t>各项经费成本</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反映在项目充分发挥资金使用效益前提下，各项经费控制的合理性，即反映预算执行结果是节约还是超支等具体情况</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2</w:t>
            </w:r>
          </w:p>
        </w:tc>
      </w:tr>
    </w:tbl>
    <w:p>
      <w:pPr>
        <w:ind w:left="0" w:leftChars="0" w:firstLine="560" w:firstLineChars="200"/>
        <w:rPr>
          <w:rFonts w:hint="eastAsia"/>
          <w:lang w:val="en-US" w:eastAsia="zh-CN"/>
        </w:rPr>
      </w:pPr>
    </w:p>
    <w:p>
      <w:pPr>
        <w:topLinePunct w:val="0"/>
        <w:ind w:firstLine="0" w:firstLineChars="0"/>
      </w:pPr>
      <w:r>
        <w:rPr>
          <w:rFonts w:hint="eastAsia"/>
          <w:lang w:val="en-US" w:eastAsia="zh-CN"/>
        </w:rPr>
        <w:t>各项经费成本：</w:t>
      </w:r>
      <w:r>
        <w:rPr>
          <w:rFonts w:hint="eastAsia"/>
          <w:szCs w:val="28"/>
        </w:rPr>
        <w:t>该项目预算（成本）</w:t>
      </w:r>
      <w:r>
        <w:rPr>
          <w:rFonts w:hint="eastAsia"/>
          <w:szCs w:val="28"/>
          <w:lang w:eastAsia="zh-CN"/>
        </w:rPr>
        <w:t>控制得合理</w:t>
      </w:r>
      <w:r>
        <w:rPr>
          <w:rFonts w:hint="eastAsia"/>
          <w:szCs w:val="28"/>
        </w:rPr>
        <w:t>，</w:t>
      </w:r>
      <w:r>
        <w:rPr>
          <w:rFonts w:hint="eastAsia"/>
          <w:szCs w:val="28"/>
          <w:lang w:eastAsia="zh-CN"/>
        </w:rPr>
        <w:t>各项经费符合年初制定的支出计划，总支出未超过</w:t>
      </w:r>
      <w:r>
        <w:rPr>
          <w:rFonts w:hint="eastAsia"/>
          <w:szCs w:val="28"/>
          <w:lang w:val="en-US" w:eastAsia="zh-CN"/>
        </w:rPr>
        <w:t>40万元</w:t>
      </w:r>
      <w:r>
        <w:rPr>
          <w:rFonts w:hint="eastAsia"/>
          <w:szCs w:val="28"/>
        </w:rPr>
        <w:t>，</w:t>
      </w:r>
      <w:r>
        <w:rPr>
          <w:rFonts w:hint="eastAsia"/>
          <w:lang w:eastAsia="zh-CN"/>
        </w:rPr>
        <w:t>符合支出标准。</w:t>
      </w:r>
      <w:r>
        <w:rPr>
          <w:rFonts w:hint="eastAsia"/>
        </w:rPr>
        <w:t>根据评分标准，该指标得2分。</w:t>
      </w:r>
    </w:p>
    <w:p>
      <w:pPr>
        <w:pStyle w:val="4"/>
        <w:spacing w:before="120"/>
        <w:ind w:firstLine="562"/>
        <w:rPr>
          <w:rFonts w:ascii="黑体" w:hAnsi="黑体" w:cs="黑体"/>
          <w:szCs w:val="28"/>
        </w:rPr>
      </w:pPr>
      <w:bookmarkStart w:id="25" w:name="_Toc45292272"/>
      <w:r>
        <w:rPr>
          <w:rFonts w:hint="eastAsia" w:ascii="黑体" w:hAnsi="黑体" w:cs="黑体"/>
          <w:szCs w:val="28"/>
        </w:rPr>
        <w:t>（四）项目效益情况</w:t>
      </w:r>
      <w:bookmarkEnd w:id="25"/>
    </w:p>
    <w:p>
      <w:pPr>
        <w:topLinePunct w:val="0"/>
        <w:spacing w:afterLines="50"/>
        <w:ind w:firstLine="560"/>
      </w:pPr>
      <w:bookmarkStart w:id="26" w:name="_Toc45292273"/>
      <w:r>
        <w:t>项目</w:t>
      </w:r>
      <w:r>
        <w:rPr>
          <w:rFonts w:hint="eastAsia"/>
        </w:rPr>
        <w:t>效益包含生态效益、社会效益、经济效益、可持续影响及满意度五</w:t>
      </w:r>
      <w:r>
        <w:t>个方面，指标总分</w:t>
      </w:r>
      <w:r>
        <w:rPr>
          <w:rFonts w:hint="eastAsia"/>
        </w:rPr>
        <w:t>30</w:t>
      </w:r>
      <w:r>
        <w:t>分，评价得分</w:t>
      </w:r>
      <w:r>
        <w:rPr>
          <w:rFonts w:hint="eastAsia"/>
          <w:lang w:val="en-US" w:eastAsia="zh-CN"/>
        </w:rPr>
        <w:t>27</w:t>
      </w:r>
      <w:r>
        <w:t>分，得分率</w:t>
      </w:r>
      <w:r>
        <w:rPr>
          <w:rFonts w:hint="eastAsia"/>
          <w:lang w:val="en-US" w:eastAsia="zh-CN"/>
        </w:rPr>
        <w:t>9</w:t>
      </w:r>
      <w:r>
        <w:rPr>
          <w:rFonts w:hint="eastAsia"/>
        </w:rPr>
        <w:t>0</w:t>
      </w:r>
      <w:r>
        <w:t>%。</w:t>
      </w:r>
      <w:r>
        <w:rPr>
          <w:rFonts w:hint="eastAsia"/>
        </w:rPr>
        <w:t>各分项指标得分和绩效分析如下：</w:t>
      </w:r>
    </w:p>
    <w:p>
      <w:pPr>
        <w:pStyle w:val="2"/>
        <w:ind w:firstLine="0" w:firstLineChars="0"/>
        <w:rPr>
          <w:rFonts w:ascii="仿宋_GB2312" w:hAnsi="Times New Roman" w:eastAsia="仿宋_GB2312" w:cs="宋体"/>
          <w:b w:val="0"/>
          <w:bCs w:val="0"/>
          <w:szCs w:val="22"/>
        </w:rPr>
      </w:pPr>
      <w:r>
        <w:rPr>
          <w:rFonts w:hint="eastAsia" w:ascii="仿宋_GB2312" w:hAnsi="Times New Roman" w:eastAsia="仿宋_GB2312" w:cs="宋体"/>
          <w:b w:val="0"/>
          <w:bCs w:val="0"/>
          <w:szCs w:val="22"/>
        </w:rPr>
        <w:t>（</w:t>
      </w:r>
      <w:r>
        <w:rPr>
          <w:rFonts w:hint="eastAsia" w:ascii="仿宋_GB2312" w:hAnsi="Times New Roman" w:eastAsia="仿宋_GB2312" w:cs="宋体"/>
          <w:b w:val="0"/>
          <w:bCs w:val="0"/>
          <w:szCs w:val="22"/>
          <w:lang w:val="en-US" w:eastAsia="zh-CN"/>
        </w:rPr>
        <w:t>1</w:t>
      </w:r>
      <w:r>
        <w:rPr>
          <w:rFonts w:hint="eastAsia" w:ascii="仿宋_GB2312" w:hAnsi="Times New Roman" w:eastAsia="仿宋_GB2312" w:cs="宋体"/>
          <w:b w:val="0"/>
          <w:bCs w:val="0"/>
          <w:szCs w:val="22"/>
        </w:rPr>
        <w:t>）社会效益指标：满分</w:t>
      </w:r>
      <w:r>
        <w:rPr>
          <w:rFonts w:hint="eastAsia" w:ascii="仿宋_GB2312" w:hAnsi="Times New Roman" w:eastAsia="仿宋_GB2312" w:cs="宋体"/>
          <w:b w:val="0"/>
          <w:bCs w:val="0"/>
          <w:szCs w:val="22"/>
          <w:lang w:val="en-US" w:eastAsia="zh-CN"/>
        </w:rPr>
        <w:t>10</w:t>
      </w:r>
      <w:r>
        <w:rPr>
          <w:rFonts w:hint="eastAsia" w:ascii="仿宋_GB2312" w:hAnsi="Times New Roman" w:eastAsia="仿宋_GB2312" w:cs="宋体"/>
          <w:b w:val="0"/>
          <w:bCs w:val="0"/>
          <w:szCs w:val="22"/>
        </w:rPr>
        <w:t>分，得</w:t>
      </w:r>
      <w:r>
        <w:rPr>
          <w:rFonts w:hint="eastAsia" w:ascii="仿宋_GB2312" w:hAnsi="Times New Roman" w:eastAsia="仿宋_GB2312" w:cs="宋体"/>
          <w:b w:val="0"/>
          <w:bCs w:val="0"/>
          <w:szCs w:val="22"/>
          <w:lang w:val="en-US" w:eastAsia="zh-CN"/>
        </w:rPr>
        <w:t>10</w:t>
      </w:r>
      <w:r>
        <w:rPr>
          <w:rFonts w:hint="eastAsia" w:ascii="仿宋_GB2312" w:hAnsi="Times New Roman" w:eastAsia="仿宋_GB2312" w:cs="宋体"/>
          <w:b w:val="0"/>
          <w:bCs w:val="0"/>
          <w:szCs w:val="22"/>
        </w:rPr>
        <w:t>分。</w:t>
      </w:r>
    </w:p>
    <w:tbl>
      <w:tblPr>
        <w:tblStyle w:val="1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843"/>
        <w:gridCol w:w="340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843"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402"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0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vMerge w:val="restart"/>
            <w:tcBorders>
              <w:left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社会效益</w:t>
            </w:r>
          </w:p>
        </w:tc>
        <w:tc>
          <w:tcPr>
            <w:tcW w:w="851" w:type="dxa"/>
            <w:vMerge w:val="restart"/>
            <w:tcBorders>
              <w:left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提高工作人员办公效率</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反映工作人员办公效率提高情况</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vMerge w:val="continue"/>
            <w:tcBorders>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sz w:val="20"/>
                <w:szCs w:val="20"/>
                <w:lang w:val="en-US" w:bidi="ar-SA"/>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sz w:val="20"/>
                <w:szCs w:val="20"/>
                <w:lang w:val="en-US" w:bidi="ar-SA"/>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sz w:val="20"/>
                <w:szCs w:val="20"/>
                <w:lang w:val="en-US" w:eastAsia="zh-CN" w:bidi="ar-SA"/>
              </w:rPr>
            </w:pPr>
            <w:r>
              <w:rPr>
                <w:rFonts w:hint="eastAsia" w:ascii="仿宋_GB2312" w:hAnsi="宋体"/>
                <w:sz w:val="20"/>
                <w:szCs w:val="20"/>
                <w:lang w:val="en-US" w:eastAsia="zh-CN" w:bidi="ar-SA"/>
              </w:rPr>
              <w:t>医保政策知晓率</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sz w:val="20"/>
                <w:szCs w:val="20"/>
                <w:lang w:val="en-US" w:eastAsia="zh-CN" w:bidi="ar-SA"/>
              </w:rPr>
            </w:pPr>
            <w:r>
              <w:rPr>
                <w:rFonts w:hint="eastAsia" w:ascii="仿宋_GB2312" w:hAnsi="宋体"/>
                <w:sz w:val="20"/>
                <w:szCs w:val="20"/>
                <w:lang w:val="en-US" w:eastAsia="zh-CN" w:bidi="ar-SA"/>
              </w:rPr>
              <w:t>传播推广医保政策，提高百姓对医保政策的认知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sz w:val="20"/>
                <w:szCs w:val="20"/>
                <w:lang w:val="en-US" w:eastAsia="zh-CN" w:bidi="ar-SA"/>
              </w:rPr>
            </w:pPr>
            <w:r>
              <w:rPr>
                <w:rFonts w:hint="eastAsia" w:ascii="仿宋_GB2312" w:hAnsi="宋体"/>
                <w:sz w:val="20"/>
                <w:szCs w:val="20"/>
                <w:lang w:val="en-US" w:eastAsia="zh-CN" w:bidi="ar-SA"/>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5</w:t>
            </w:r>
          </w:p>
        </w:tc>
      </w:tr>
    </w:tbl>
    <w:p>
      <w:pPr>
        <w:ind w:firstLine="560"/>
      </w:pPr>
      <w:r>
        <w:rPr>
          <w:rFonts w:hint="eastAsia"/>
        </w:rPr>
        <w:t>①</w:t>
      </w:r>
      <w:r>
        <w:rPr>
          <w:rFonts w:hint="eastAsia"/>
          <w:lang w:val="en-US" w:eastAsia="zh-CN"/>
        </w:rPr>
        <w:t>提高工作人员办公效率</w:t>
      </w:r>
      <w:r>
        <w:rPr>
          <w:rFonts w:hint="eastAsia"/>
        </w:rPr>
        <w:t>：按照中共承德市委、承德市人民政府《关于印发&lt;承德市机构改革方案&gt;的通知》（承字〔2018〕26号）文件要求，组建承德市医疗保障局（以下简称“我局”），将市人力资源和社会保障局的城镇职工和城乡居民基本医疗保险、生育保险职责整合</w:t>
      </w:r>
      <w:r>
        <w:rPr>
          <w:rFonts w:hint="eastAsia"/>
          <w:lang w:eastAsia="zh-CN"/>
        </w:rPr>
        <w:t>，</w:t>
      </w:r>
      <w:r>
        <w:rPr>
          <w:rFonts w:hint="eastAsia"/>
        </w:rPr>
        <w:t>改善了医保经办大厅的服务条件、提升了医保经办大厅等待区舒适度。实现了</w:t>
      </w:r>
      <w:r>
        <w:rPr>
          <w:rFonts w:hint="eastAsia" w:cs="Times New Roman"/>
          <w:szCs w:val="28"/>
        </w:rPr>
        <w:t>市区40万人医保服务口“一厅”办理、全部27项医保事项“一窗”通办，完善了服务流程，</w:t>
      </w:r>
      <w:r>
        <w:rPr>
          <w:rFonts w:hint="eastAsia"/>
        </w:rPr>
        <w:t>缩短了市民办理医保业务时间与平均等待时间，</w:t>
      </w:r>
      <w:r>
        <w:rPr>
          <w:rFonts w:hint="eastAsia" w:cs="Times New Roman"/>
          <w:szCs w:val="28"/>
        </w:rPr>
        <w:t>有效提升了办事效率</w:t>
      </w:r>
      <w:r>
        <w:rPr>
          <w:rFonts w:hint="eastAsia"/>
        </w:rPr>
        <w:t>。根据评分标准，该指标得</w:t>
      </w:r>
      <w:r>
        <w:rPr>
          <w:rFonts w:hint="eastAsia"/>
          <w:lang w:val="en-US" w:eastAsia="zh-CN"/>
        </w:rPr>
        <w:t>5</w:t>
      </w:r>
      <w:r>
        <w:rPr>
          <w:rFonts w:hint="eastAsia"/>
        </w:rPr>
        <w:t>分。</w:t>
      </w:r>
    </w:p>
    <w:p>
      <w:pPr>
        <w:ind w:firstLine="560"/>
        <w:rPr>
          <w:rFonts w:hint="eastAsia" w:ascii="仿宋_GB2312" w:hAnsi="Times New Roman" w:eastAsia="仿宋_GB2312" w:cs="宋体"/>
          <w:b w:val="0"/>
          <w:bCs w:val="0"/>
          <w:szCs w:val="22"/>
        </w:rPr>
      </w:pPr>
      <w:r>
        <w:rPr>
          <w:rFonts w:hint="eastAsia"/>
        </w:rPr>
        <w:t>②</w:t>
      </w:r>
      <w:r>
        <w:rPr>
          <w:rFonts w:hint="eastAsia"/>
          <w:lang w:val="en-US" w:eastAsia="zh-CN"/>
        </w:rPr>
        <w:t>医保政策知晓率</w:t>
      </w:r>
      <w:r>
        <w:rPr>
          <w:rFonts w:hint="eastAsia"/>
          <w:lang w:eastAsia="zh-CN"/>
        </w:rPr>
        <w:t>：医保大厅内印刷的小册子能够为居民推广宣传关于医保的一些知识和政策，为普及城镇医保提供便利的条件</w:t>
      </w:r>
      <w:r>
        <w:rPr>
          <w:rFonts w:hint="eastAsia"/>
        </w:rPr>
        <w:t>。根据评分标准，该指标得</w:t>
      </w:r>
      <w:r>
        <w:rPr>
          <w:rFonts w:hint="eastAsia"/>
          <w:lang w:val="en-US" w:eastAsia="zh-CN"/>
        </w:rPr>
        <w:t>5</w:t>
      </w:r>
      <w:r>
        <w:rPr>
          <w:rFonts w:hint="eastAsia"/>
        </w:rPr>
        <w:t>分。</w:t>
      </w:r>
    </w:p>
    <w:p>
      <w:pPr>
        <w:pStyle w:val="2"/>
        <w:ind w:firstLine="0" w:firstLineChars="0"/>
        <w:rPr>
          <w:rFonts w:ascii="仿宋_GB2312" w:hAnsi="Times New Roman" w:eastAsia="仿宋_GB2312" w:cs="宋体"/>
          <w:b w:val="0"/>
          <w:bCs w:val="0"/>
          <w:szCs w:val="22"/>
        </w:rPr>
      </w:pPr>
      <w:r>
        <w:rPr>
          <w:rFonts w:hint="eastAsia" w:ascii="仿宋_GB2312" w:hAnsi="Times New Roman" w:eastAsia="仿宋_GB2312" w:cs="宋体"/>
          <w:b w:val="0"/>
          <w:bCs w:val="0"/>
          <w:szCs w:val="22"/>
        </w:rPr>
        <w:t>（</w:t>
      </w:r>
      <w:r>
        <w:rPr>
          <w:rFonts w:hint="eastAsia" w:ascii="仿宋_GB2312" w:hAnsi="Times New Roman" w:eastAsia="仿宋_GB2312" w:cs="宋体"/>
          <w:b w:val="0"/>
          <w:bCs w:val="0"/>
          <w:szCs w:val="22"/>
          <w:lang w:val="en-US" w:eastAsia="zh-CN"/>
        </w:rPr>
        <w:t>2</w:t>
      </w:r>
      <w:r>
        <w:rPr>
          <w:rFonts w:hint="eastAsia" w:ascii="仿宋_GB2312" w:hAnsi="Times New Roman" w:eastAsia="仿宋_GB2312" w:cs="宋体"/>
          <w:b w:val="0"/>
          <w:bCs w:val="0"/>
          <w:szCs w:val="22"/>
        </w:rPr>
        <w:t>）可持续影响指标：满分</w:t>
      </w:r>
      <w:r>
        <w:rPr>
          <w:rFonts w:hint="eastAsia" w:ascii="仿宋_GB2312" w:hAnsi="Times New Roman" w:eastAsia="仿宋_GB2312" w:cs="宋体"/>
          <w:b w:val="0"/>
          <w:bCs w:val="0"/>
          <w:szCs w:val="22"/>
          <w:lang w:val="en-US" w:eastAsia="zh-CN"/>
        </w:rPr>
        <w:t>10</w:t>
      </w:r>
      <w:r>
        <w:rPr>
          <w:rFonts w:hint="eastAsia" w:ascii="仿宋_GB2312" w:hAnsi="Times New Roman" w:eastAsia="仿宋_GB2312" w:cs="宋体"/>
          <w:b w:val="0"/>
          <w:bCs w:val="0"/>
          <w:szCs w:val="22"/>
        </w:rPr>
        <w:t>分，得</w:t>
      </w:r>
      <w:r>
        <w:rPr>
          <w:rFonts w:hint="eastAsia" w:ascii="仿宋_GB2312" w:hAnsi="Times New Roman" w:eastAsia="仿宋_GB2312" w:cs="宋体"/>
          <w:b w:val="0"/>
          <w:bCs w:val="0"/>
          <w:szCs w:val="22"/>
          <w:lang w:val="en-US" w:eastAsia="zh-CN"/>
        </w:rPr>
        <w:t>9</w:t>
      </w:r>
      <w:r>
        <w:rPr>
          <w:rFonts w:hint="eastAsia" w:ascii="仿宋_GB2312" w:hAnsi="Times New Roman" w:eastAsia="仿宋_GB2312" w:cs="宋体"/>
          <w:b w:val="0"/>
          <w:bCs w:val="0"/>
          <w:szCs w:val="22"/>
        </w:rPr>
        <w:t>分。</w:t>
      </w:r>
    </w:p>
    <w:tbl>
      <w:tblPr>
        <w:tblStyle w:val="1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843"/>
        <w:gridCol w:w="340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843"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402"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0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lang w:val="en-US" w:bidi="ar-SA"/>
              </w:rPr>
            </w:pPr>
            <w:r>
              <w:rPr>
                <w:rFonts w:hint="eastAsia" w:ascii="仿宋_GB2312" w:hAnsi="宋体"/>
                <w:sz w:val="20"/>
                <w:szCs w:val="20"/>
                <w:lang w:val="en-US" w:bidi="ar-SA"/>
              </w:rPr>
              <w:t>可持续影响</w:t>
            </w:r>
          </w:p>
        </w:tc>
        <w:tc>
          <w:tcPr>
            <w:tcW w:w="851" w:type="dxa"/>
            <w:tcBorders>
              <w:top w:val="single" w:color="auto" w:sz="4" w:space="0"/>
              <w:left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保障医保大厅正常运转</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lang w:val="en-US" w:eastAsia="zh-CN" w:bidi="ar-SA"/>
              </w:rPr>
            </w:pPr>
            <w:r>
              <w:rPr>
                <w:rFonts w:hint="eastAsia" w:ascii="仿宋_GB2312" w:hAnsi="宋体"/>
                <w:sz w:val="20"/>
                <w:szCs w:val="20"/>
                <w:lang w:val="en-US" w:eastAsia="zh-CN" w:bidi="ar-SA"/>
              </w:rPr>
              <w:t>维护医保大厅正常办公秩序，提升服务质量</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lang w:val="en-US" w:eastAsia="zh-CN" w:bidi="ar-SA"/>
              </w:rPr>
            </w:pPr>
            <w:r>
              <w:rPr>
                <w:rFonts w:hint="eastAsia" w:ascii="仿宋_GB2312" w:hAnsi="宋体"/>
                <w:sz w:val="20"/>
                <w:szCs w:val="20"/>
                <w:lang w:val="en-US" w:eastAsia="zh-CN" w:bidi="ar-SA"/>
              </w:rPr>
              <w:t>9</w:t>
            </w:r>
          </w:p>
        </w:tc>
      </w:tr>
    </w:tbl>
    <w:p>
      <w:pPr>
        <w:spacing w:beforeLines="50"/>
        <w:ind w:firstLine="560"/>
        <w:rPr>
          <w:rFonts w:hint="eastAsia"/>
        </w:rPr>
      </w:pPr>
      <w:r>
        <w:rPr>
          <w:rFonts w:hint="eastAsia"/>
        </w:rPr>
        <w:t>①</w:t>
      </w:r>
      <w:r>
        <w:rPr>
          <w:rFonts w:hint="eastAsia"/>
          <w:lang w:val="en-US" w:eastAsia="zh-CN"/>
        </w:rPr>
        <w:t>保障医保大厅正常运转</w:t>
      </w:r>
      <w:r>
        <w:rPr>
          <w:rFonts w:hint="eastAsia"/>
          <w:lang w:eastAsia="zh-CN"/>
        </w:rPr>
        <w:t>：“</w:t>
      </w:r>
      <w:r>
        <w:rPr>
          <w:rFonts w:hint="eastAsia"/>
        </w:rPr>
        <w:t>可持续影响”</w:t>
      </w:r>
      <w:r>
        <w:t>包括</w:t>
      </w:r>
      <w:r>
        <w:rPr>
          <w:rFonts w:hint="eastAsia"/>
        </w:rPr>
        <w:t>长效管理制度机制</w:t>
      </w:r>
      <w:r>
        <w:t>、</w:t>
      </w:r>
      <w:r>
        <w:rPr>
          <w:rFonts w:hint="eastAsia"/>
        </w:rPr>
        <w:t>持续使用年限两</w:t>
      </w:r>
      <w:r>
        <w:t>个三级指标</w:t>
      </w:r>
      <w:r>
        <w:rPr>
          <w:rFonts w:hint="eastAsia"/>
        </w:rPr>
        <w:t>，</w:t>
      </w:r>
      <w:r>
        <w:rPr>
          <w:rFonts w:hint="eastAsia"/>
          <w:lang w:eastAsia="zh-CN"/>
        </w:rPr>
        <w:t>医保经办服务大厅的各项经费能够保障各项业务持续有效的运行，</w:t>
      </w:r>
      <w:r>
        <w:rPr>
          <w:rFonts w:hint="eastAsia"/>
        </w:rPr>
        <w:t>但是缺乏长效管理制度机制。根据评分标准，该指标得</w:t>
      </w:r>
      <w:r>
        <w:rPr>
          <w:rFonts w:hint="eastAsia"/>
          <w:lang w:val="en-US" w:eastAsia="zh-CN"/>
        </w:rPr>
        <w:t>9</w:t>
      </w:r>
      <w:r>
        <w:rPr>
          <w:rFonts w:hint="eastAsia"/>
        </w:rPr>
        <w:t>分</w:t>
      </w:r>
      <w:r>
        <w:rPr>
          <w:rFonts w:hint="eastAsia"/>
          <w:lang w:eastAsia="zh-CN"/>
        </w:rPr>
        <w:t>，扣</w:t>
      </w:r>
      <w:r>
        <w:rPr>
          <w:rFonts w:hint="eastAsia"/>
          <w:lang w:val="en-US" w:eastAsia="zh-CN"/>
        </w:rPr>
        <w:t>1分</w:t>
      </w:r>
      <w:r>
        <w:rPr>
          <w:rFonts w:hint="eastAsia"/>
        </w:rPr>
        <w:t>。</w:t>
      </w:r>
    </w:p>
    <w:p>
      <w:pPr>
        <w:pStyle w:val="2"/>
        <w:numPr>
          <w:ilvl w:val="0"/>
          <w:numId w:val="2"/>
        </w:numPr>
        <w:ind w:firstLine="0" w:firstLineChars="0"/>
        <w:rPr>
          <w:rFonts w:hint="eastAsia" w:ascii="仿宋_GB2312" w:hAnsi="Times New Roman" w:eastAsia="仿宋_GB2312" w:cs="宋体"/>
          <w:b w:val="0"/>
          <w:bCs w:val="0"/>
          <w:szCs w:val="22"/>
        </w:rPr>
      </w:pPr>
      <w:r>
        <w:rPr>
          <w:rFonts w:hint="eastAsia" w:ascii="仿宋_GB2312" w:hAnsi="Times New Roman" w:eastAsia="仿宋_GB2312" w:cs="宋体"/>
          <w:b w:val="0"/>
          <w:bCs w:val="0"/>
          <w:szCs w:val="22"/>
        </w:rPr>
        <w:t>满意度指标：满分10分，得</w:t>
      </w:r>
      <w:r>
        <w:rPr>
          <w:rFonts w:hint="eastAsia" w:ascii="仿宋_GB2312" w:hAnsi="Times New Roman" w:eastAsia="仿宋_GB2312" w:cs="宋体"/>
          <w:b w:val="0"/>
          <w:bCs w:val="0"/>
          <w:szCs w:val="22"/>
          <w:lang w:val="en-US" w:eastAsia="zh-CN"/>
        </w:rPr>
        <w:t>10</w:t>
      </w:r>
      <w:r>
        <w:rPr>
          <w:rFonts w:hint="eastAsia" w:ascii="仿宋_GB2312" w:hAnsi="Times New Roman" w:eastAsia="仿宋_GB2312" w:cs="宋体"/>
          <w:b w:val="0"/>
          <w:bCs w:val="0"/>
          <w:szCs w:val="22"/>
        </w:rPr>
        <w:t>分。</w:t>
      </w:r>
    </w:p>
    <w:p>
      <w:pPr>
        <w:numPr>
          <w:ilvl w:val="0"/>
          <w:numId w:val="0"/>
        </w:numPr>
      </w:pPr>
    </w:p>
    <w:tbl>
      <w:tblPr>
        <w:tblStyle w:val="18"/>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1843"/>
        <w:gridCol w:w="3402"/>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二级指标</w:t>
            </w:r>
          </w:p>
        </w:tc>
        <w:tc>
          <w:tcPr>
            <w:tcW w:w="851"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权重</w:t>
            </w:r>
          </w:p>
        </w:tc>
        <w:tc>
          <w:tcPr>
            <w:tcW w:w="1843"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三级指标</w:t>
            </w:r>
          </w:p>
        </w:tc>
        <w:tc>
          <w:tcPr>
            <w:tcW w:w="3402"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指标解释</w:t>
            </w:r>
          </w:p>
        </w:tc>
        <w:tc>
          <w:tcPr>
            <w:tcW w:w="708"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分值</w:t>
            </w:r>
          </w:p>
        </w:tc>
        <w:tc>
          <w:tcPr>
            <w:tcW w:w="709" w:type="dxa"/>
            <w:shd w:val="clear" w:color="000000" w:fill="99CCFF"/>
            <w:vAlign w:val="center"/>
          </w:tcPr>
          <w:p>
            <w:pPr>
              <w:widowControl/>
              <w:topLinePunct w:val="0"/>
              <w:spacing w:line="240" w:lineRule="auto"/>
              <w:ind w:firstLine="0" w:firstLineChars="0"/>
              <w:jc w:val="center"/>
              <w:rPr>
                <w:rFonts w:ascii="仿宋_GB2312" w:hAnsi="宋体"/>
                <w:sz w:val="24"/>
                <w:szCs w:val="24"/>
                <w:lang w:val="en-US" w:bidi="ar-SA"/>
              </w:rPr>
            </w:pPr>
            <w:r>
              <w:rPr>
                <w:rFonts w:hint="eastAsia" w:ascii="仿宋_GB2312" w:hAnsi="宋体"/>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tcBorders>
              <w:top w:val="single" w:color="auto" w:sz="4" w:space="0"/>
              <w:left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满意度指标</w:t>
            </w:r>
          </w:p>
        </w:tc>
        <w:tc>
          <w:tcPr>
            <w:tcW w:w="851" w:type="dxa"/>
            <w:tcBorders>
              <w:top w:val="single" w:color="auto" w:sz="4" w:space="0"/>
              <w:left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居民满意度</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反映</w:t>
            </w:r>
            <w:r>
              <w:rPr>
                <w:rFonts w:hint="eastAsia" w:ascii="仿宋_GB2312" w:hAnsi="宋体"/>
                <w:sz w:val="20"/>
                <w:szCs w:val="20"/>
                <w:highlight w:val="none"/>
                <w:lang w:val="en-US" w:eastAsia="zh-CN" w:bidi="ar-SA"/>
              </w:rPr>
              <w:t>城镇</w:t>
            </w:r>
            <w:r>
              <w:rPr>
                <w:rFonts w:hint="eastAsia" w:ascii="仿宋_GB2312" w:hAnsi="宋体"/>
                <w:sz w:val="20"/>
                <w:szCs w:val="20"/>
                <w:highlight w:val="none"/>
                <w:lang w:val="en-US" w:bidi="ar-SA"/>
              </w:rPr>
              <w:t>居民满意程度</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10</w:t>
            </w:r>
          </w:p>
        </w:tc>
      </w:tr>
    </w:tbl>
    <w:p>
      <w:pPr>
        <w:ind w:firstLine="560"/>
        <w:rPr>
          <w:rFonts w:hint="default" w:ascii="Times New Roman" w:hAnsi="Times New Roman" w:eastAsia="仿宋_GB2312" w:cs="宋体"/>
          <w:b w:val="0"/>
          <w:bCs w:val="0"/>
          <w:sz w:val="28"/>
          <w:szCs w:val="22"/>
          <w:lang w:val="en-US" w:eastAsia="zh-CN" w:bidi="zh-CN"/>
        </w:rPr>
      </w:pPr>
      <w:r>
        <w:rPr>
          <w:rFonts w:hint="eastAsia"/>
        </w:rPr>
        <w:t>①</w:t>
      </w:r>
      <w:r>
        <w:rPr>
          <w:rFonts w:hint="eastAsia"/>
          <w:bCs/>
        </w:rPr>
        <w:t>居民满意度：</w:t>
      </w:r>
      <w:r>
        <w:rPr>
          <w:rFonts w:hint="eastAsia"/>
        </w:rPr>
        <w:t>承德市民来经办业务大厅办理完业务后，</w:t>
      </w:r>
      <w:r>
        <w:rPr>
          <w:rFonts w:hint="eastAsia"/>
          <w:lang w:eastAsia="zh-CN"/>
        </w:rPr>
        <w:t>通过</w:t>
      </w:r>
      <w:r>
        <w:rPr>
          <w:rFonts w:hint="eastAsia"/>
        </w:rPr>
        <w:t>经办人员</w:t>
      </w:r>
      <w:r>
        <w:rPr>
          <w:rFonts w:hint="eastAsia"/>
          <w:lang w:eastAsia="zh-CN"/>
        </w:rPr>
        <w:t>访问其意见</w:t>
      </w:r>
      <w:r>
        <w:rPr>
          <w:rFonts w:hint="eastAsia"/>
        </w:rPr>
        <w:t>，市民对经办业务大厅</w:t>
      </w:r>
      <w:r>
        <w:rPr>
          <w:rFonts w:hint="eastAsia"/>
          <w:lang w:eastAsia="zh-CN"/>
        </w:rPr>
        <w:t>的</w:t>
      </w:r>
      <w:r>
        <w:rPr>
          <w:rFonts w:hint="eastAsia"/>
        </w:rPr>
        <w:t>满意度为</w:t>
      </w:r>
      <w:r>
        <w:rPr>
          <w:rFonts w:hint="eastAsia"/>
          <w:lang w:val="en-US" w:eastAsia="zh-CN"/>
        </w:rPr>
        <w:t>98</w:t>
      </w:r>
      <w:r>
        <w:rPr>
          <w:rFonts w:hint="eastAsia"/>
        </w:rPr>
        <w:t>%，根据评分细则，本指标得满分</w:t>
      </w:r>
      <w:r>
        <w:rPr>
          <w:rFonts w:hint="eastAsia"/>
          <w:lang w:eastAsia="zh-CN"/>
        </w:rPr>
        <w:t>。</w:t>
      </w:r>
      <w:r>
        <w:rPr>
          <w:rFonts w:hint="eastAsia"/>
          <w:lang w:val="en-US" w:eastAsia="zh-CN"/>
        </w:rPr>
        <w:t xml:space="preserve">                                                                                                       </w:t>
      </w:r>
    </w:p>
    <w:p>
      <w:pPr>
        <w:pStyle w:val="3"/>
        <w:spacing w:before="120"/>
        <w:ind w:firstLine="643"/>
      </w:pPr>
      <w:r>
        <w:rPr>
          <w:rFonts w:hint="eastAsia"/>
        </w:rPr>
        <w:t>五、</w:t>
      </w:r>
      <w:bookmarkEnd w:id="22"/>
      <w:r>
        <w:rPr>
          <w:rFonts w:hint="eastAsia"/>
        </w:rPr>
        <w:t>主要经验及做法、存在的问题及原因分析</w:t>
      </w:r>
      <w:bookmarkEnd w:id="26"/>
    </w:p>
    <w:p>
      <w:pPr>
        <w:pStyle w:val="4"/>
        <w:spacing w:before="120"/>
        <w:ind w:firstLine="562"/>
      </w:pPr>
      <w:bookmarkStart w:id="27" w:name="_Toc45292274"/>
      <w:r>
        <w:rPr>
          <w:rFonts w:hint="eastAsia"/>
        </w:rPr>
        <w:t>（一）经验及做法</w:t>
      </w:r>
      <w:bookmarkEnd w:id="27"/>
    </w:p>
    <w:p>
      <w:pPr>
        <w:ind w:firstLine="560"/>
      </w:pPr>
      <w:r>
        <w:rPr>
          <w:rFonts w:hint="eastAsia"/>
          <w:lang w:val="en-US" w:eastAsia="zh-CN"/>
        </w:rPr>
        <w:t>1、</w:t>
      </w:r>
      <w:r>
        <w:rPr>
          <w:rFonts w:hint="eastAsia"/>
        </w:rPr>
        <w:t>加强管理水平，提高</w:t>
      </w:r>
      <w:r>
        <w:rPr>
          <w:rFonts w:hint="eastAsia"/>
          <w:lang w:eastAsia="zh-CN"/>
        </w:rPr>
        <w:t>工作人员服务</w:t>
      </w:r>
      <w:r>
        <w:rPr>
          <w:rFonts w:hint="eastAsia"/>
        </w:rPr>
        <w:t>质量，制定了</w:t>
      </w:r>
      <w:r>
        <w:rPr>
          <w:rFonts w:hint="eastAsia"/>
          <w:lang w:eastAsia="zh-CN"/>
        </w:rPr>
        <w:t>相应的管理规范</w:t>
      </w:r>
      <w:r>
        <w:rPr>
          <w:rFonts w:hint="eastAsia"/>
        </w:rPr>
        <w:t>，对</w:t>
      </w:r>
      <w:r>
        <w:rPr>
          <w:rFonts w:hint="eastAsia"/>
          <w:lang w:eastAsia="zh-CN"/>
        </w:rPr>
        <w:t>服务人员的着装进行统一管理，体现医保人员的精神面貌。对各项运行维护经费的支出严格把关，按照《承德市医疗保障局财务管理办法》逐级审批，确保资金的有效使用和安全运行。</w:t>
      </w:r>
    </w:p>
    <w:p>
      <w:pPr>
        <w:ind w:firstLine="560"/>
        <w:rPr>
          <w:rFonts w:hint="eastAsia"/>
        </w:rPr>
      </w:pPr>
      <w:r>
        <w:rPr>
          <w:rFonts w:hint="eastAsia"/>
          <w:lang w:val="en-US" w:eastAsia="zh-CN"/>
        </w:rPr>
        <w:t>2、</w:t>
      </w:r>
      <w:r>
        <w:rPr>
          <w:rFonts w:hint="eastAsia"/>
          <w:lang w:eastAsia="zh-CN"/>
        </w:rPr>
        <w:t>承德市医疗保障局与承德市众运物业有限公司签订了物业合同，负责大厅公共区域日常整洁、安全保卫等工作，特殊时期对来办理业务的居民进行来访登记、测量体温、检查健康码行程卡，不定时对大厅进行消毒和通风，保障业务正常开展</w:t>
      </w:r>
      <w:r>
        <w:rPr>
          <w:rFonts w:hint="eastAsia"/>
        </w:rPr>
        <w:t>。</w:t>
      </w:r>
    </w:p>
    <w:p>
      <w:pPr>
        <w:pStyle w:val="4"/>
        <w:spacing w:before="120"/>
        <w:ind w:firstLine="562"/>
        <w:rPr>
          <w:rFonts w:ascii="黑体" w:hAnsi="黑体" w:cs="黑体"/>
          <w:szCs w:val="28"/>
        </w:rPr>
      </w:pPr>
      <w:bookmarkStart w:id="28" w:name="_Toc45292275"/>
      <w:r>
        <w:rPr>
          <w:rFonts w:hint="eastAsia" w:ascii="黑体" w:hAnsi="黑体" w:cs="黑体"/>
          <w:szCs w:val="28"/>
        </w:rPr>
        <w:t>（二）存在问题及原因</w:t>
      </w:r>
      <w:bookmarkEnd w:id="28"/>
    </w:p>
    <w:p>
      <w:pPr>
        <w:pStyle w:val="5"/>
        <w:spacing w:before="120"/>
        <w:ind w:firstLine="562"/>
        <w:rPr>
          <w:lang w:val="en-US"/>
        </w:rPr>
      </w:pPr>
      <w:r>
        <w:rPr>
          <w:rFonts w:hint="eastAsia"/>
          <w:lang w:val="en-US"/>
        </w:rPr>
        <w:t>1、存在问题</w:t>
      </w:r>
    </w:p>
    <w:p>
      <w:pPr>
        <w:ind w:firstLine="560"/>
      </w:pPr>
      <w:r>
        <w:rPr>
          <w:rFonts w:hint="eastAsia"/>
        </w:rPr>
        <w:t>局机关及医保经办服务大厅运行</w:t>
      </w:r>
      <w:r>
        <w:rPr>
          <w:rFonts w:hint="eastAsia"/>
          <w:lang w:eastAsia="zh-CN"/>
        </w:rPr>
        <w:t>经费项目</w:t>
      </w:r>
      <w:r>
        <w:rPr>
          <w:rFonts w:hint="eastAsia"/>
        </w:rPr>
        <w:t>实施虽取得了一定的成效，但还存在一些问题和不足，主要表现在：</w:t>
      </w:r>
    </w:p>
    <w:p>
      <w:pPr>
        <w:numPr>
          <w:ilvl w:val="0"/>
          <w:numId w:val="0"/>
        </w:numPr>
        <w:ind w:firstLine="560" w:firstLineChars="200"/>
        <w:rPr>
          <w:rFonts w:hint="eastAsia" w:eastAsia="仿宋_GB2312"/>
          <w:b/>
          <w:bCs/>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在</w:t>
      </w:r>
      <w:r>
        <w:rPr>
          <w:rFonts w:hint="eastAsia"/>
        </w:rPr>
        <w:t>申报项目时，对本项目的</w:t>
      </w:r>
      <w:r>
        <w:t>绩效目标设置不够</w:t>
      </w:r>
      <w:r>
        <w:rPr>
          <w:rFonts w:hint="eastAsia"/>
        </w:rPr>
        <w:t>明确</w:t>
      </w:r>
      <w:r>
        <w:rPr>
          <w:rFonts w:hint="eastAsia"/>
          <w:lang w:eastAsia="zh-CN"/>
        </w:rPr>
        <w:t>。</w:t>
      </w:r>
      <w:r>
        <w:rPr>
          <w:rFonts w:hint="eastAsia"/>
        </w:rPr>
        <w:t>设定的年度绩效目标</w:t>
      </w:r>
      <w:r>
        <w:rPr>
          <w:rFonts w:hint="eastAsia"/>
          <w:lang w:eastAsia="zh-CN"/>
        </w:rPr>
        <w:t>：合理安排财政资金支出计划，遵循单位财务规章制度，在预算内按进度支出；保障局机关及医保经办大厅正常运转。</w:t>
      </w:r>
      <w:r>
        <w:rPr>
          <w:rFonts w:hint="eastAsia"/>
        </w:rPr>
        <w:t>仅能体现出项目效果，无法体现出项目产出，且未对绩效目标进行细化、量化描述</w:t>
      </w:r>
      <w:r>
        <w:rPr>
          <w:rFonts w:hint="eastAsia"/>
          <w:lang w:eastAsia="zh-CN"/>
        </w:rPr>
        <w:t>；</w:t>
      </w:r>
      <w:r>
        <w:rPr>
          <w:rFonts w:hint="eastAsia"/>
        </w:rPr>
        <w:t>仅设置了年度绩效目标，未对其进行细化与分解进而设置阶段性目标，</w:t>
      </w:r>
      <w:r>
        <w:t>未明确阶段及对应的阶段任务</w:t>
      </w:r>
      <w:r>
        <w:rPr>
          <w:rFonts w:hint="eastAsia"/>
        </w:rPr>
        <w:t>，无法</w:t>
      </w:r>
      <w:r>
        <w:t>完全体现20</w:t>
      </w:r>
      <w:r>
        <w:rPr>
          <w:rFonts w:hint="eastAsia"/>
        </w:rPr>
        <w:t>2</w:t>
      </w:r>
      <w:r>
        <w:rPr>
          <w:rFonts w:hint="eastAsia"/>
          <w:lang w:val="en-US" w:eastAsia="zh-CN"/>
        </w:rPr>
        <w:t>1</w:t>
      </w:r>
      <w:r>
        <w:t>年的工作重点</w:t>
      </w:r>
      <w:r>
        <w:rPr>
          <w:rFonts w:hint="eastAsia"/>
        </w:rPr>
        <w:t>。</w:t>
      </w:r>
    </w:p>
    <w:p>
      <w:pPr>
        <w:numPr>
          <w:ilvl w:val="0"/>
          <w:numId w:val="0"/>
        </w:numPr>
        <w:ind w:firstLine="560" w:firstLineChars="200"/>
      </w:pPr>
      <w:r>
        <w:rPr>
          <w:rFonts w:hint="eastAsia"/>
        </w:rPr>
        <w:t>（</w:t>
      </w:r>
      <w:r>
        <w:rPr>
          <w:rFonts w:hint="eastAsia"/>
          <w:lang w:val="en-US"/>
        </w:rPr>
        <w:t>2</w:t>
      </w:r>
      <w:r>
        <w:rPr>
          <w:rFonts w:hint="eastAsia"/>
        </w:rPr>
        <w:t>）</w:t>
      </w:r>
      <w:r>
        <w:rPr>
          <w:rFonts w:hint="eastAsia" w:ascii="Times New Roman" w:hAnsi="Times New Roman" w:eastAsia="仿宋_GB2312" w:cs="宋体"/>
          <w:b w:val="0"/>
          <w:bCs w:val="0"/>
          <w:sz w:val="28"/>
          <w:szCs w:val="22"/>
          <w:lang w:val="zh-CN" w:eastAsia="zh-CN" w:bidi="zh-CN"/>
        </w:rPr>
        <w:t>长效管理制度不够完善</w:t>
      </w:r>
      <w:r>
        <w:rPr>
          <w:rFonts w:hint="eastAsia" w:cs="宋体"/>
          <w:b w:val="0"/>
          <w:bCs w:val="0"/>
          <w:sz w:val="28"/>
          <w:szCs w:val="22"/>
          <w:lang w:val="zh-CN" w:eastAsia="zh-CN" w:bidi="zh-CN"/>
        </w:rPr>
        <w:t>，</w:t>
      </w:r>
      <w:r>
        <w:rPr>
          <w:rFonts w:hint="eastAsia"/>
        </w:rPr>
        <w:t>虽然针对本项目制定的各类制度措施较为完备，有详细的规划与责任人且制度机制落实到位，但是缺乏长效管理制度机制。</w:t>
      </w:r>
    </w:p>
    <w:p>
      <w:pPr>
        <w:ind w:firstLine="560"/>
        <w:rPr>
          <w:rFonts w:hint="eastAsia" w:eastAsia="仿宋_GB2312"/>
          <w:lang w:eastAsia="zh-CN"/>
        </w:rPr>
      </w:pPr>
      <w:r>
        <w:rPr>
          <w:rFonts w:hint="eastAsia"/>
        </w:rPr>
        <w:t>（</w:t>
      </w:r>
      <w:r>
        <w:rPr>
          <w:rFonts w:hint="eastAsia"/>
          <w:lang w:val="en-US"/>
        </w:rPr>
        <w:t>3</w:t>
      </w:r>
      <w:r>
        <w:rPr>
          <w:rFonts w:hint="eastAsia"/>
        </w:rPr>
        <w:t>）绩效</w:t>
      </w:r>
      <w:r>
        <w:rPr>
          <w:rFonts w:hint="eastAsia"/>
          <w:lang w:val="en-US"/>
        </w:rPr>
        <w:t>目标</w:t>
      </w:r>
      <w:r>
        <w:rPr>
          <w:rFonts w:hint="eastAsia"/>
        </w:rPr>
        <w:t>指标不够细化量化，绩效管理认识有待加深</w:t>
      </w:r>
      <w:r>
        <w:rPr>
          <w:rFonts w:hint="eastAsia"/>
          <w:lang w:eastAsia="zh-CN"/>
        </w:rPr>
        <w:t>，</w:t>
      </w:r>
      <w:r>
        <w:rPr>
          <w:rFonts w:hint="eastAsia"/>
        </w:rPr>
        <w:t>对绩效指标设置存在理解不到位的情况</w:t>
      </w:r>
      <w:r>
        <w:rPr>
          <w:rFonts w:hint="eastAsia"/>
          <w:lang w:eastAsia="zh-CN"/>
        </w:rPr>
        <w:t>。产出指标中的数量指标设置的不正确，三级指标基金监管县（市）范围与此项目不相关。效益指标方面，此项目不涉及经济效益指标和生态效益指标，可不填列。可持续影响指标设置不科学，可持续影响指标</w:t>
      </w:r>
      <w:r>
        <w:rPr>
          <w:rFonts w:hint="eastAsia"/>
        </w:rPr>
        <w:t>反映项目在实施一段时期后对部门、地区中长期规划产生的影响，包括对人、自然、资源是否带来可持续影响</w:t>
      </w:r>
      <w:r>
        <w:rPr>
          <w:rFonts w:hint="eastAsia"/>
          <w:lang w:eastAsia="zh-CN"/>
        </w:rPr>
        <w:t>，指标应从长期保障医保经办服务大厅正常运转方面进行设置。</w:t>
      </w:r>
    </w:p>
    <w:p>
      <w:pPr>
        <w:pStyle w:val="3"/>
        <w:spacing w:before="120"/>
        <w:ind w:firstLine="643"/>
      </w:pPr>
      <w:bookmarkStart w:id="29" w:name="_Toc45292276"/>
      <w:bookmarkStart w:id="30" w:name="_Toc14273"/>
      <w:r>
        <w:rPr>
          <w:rFonts w:hint="eastAsia"/>
        </w:rPr>
        <w:t>六</w:t>
      </w:r>
      <w:r>
        <w:t>、</w:t>
      </w:r>
      <w:r>
        <w:rPr>
          <w:rFonts w:hint="eastAsia"/>
        </w:rPr>
        <w:t>有关</w:t>
      </w:r>
      <w:r>
        <w:t>建议</w:t>
      </w:r>
      <w:bookmarkEnd w:id="29"/>
      <w:bookmarkEnd w:id="30"/>
    </w:p>
    <w:p>
      <w:pPr>
        <w:ind w:firstLine="560"/>
      </w:pPr>
      <w:bookmarkStart w:id="31" w:name="_Toc14910"/>
      <w:bookmarkStart w:id="32" w:name="_Toc45292277"/>
      <w:r>
        <w:rPr>
          <w:rFonts w:hint="eastAsia"/>
        </w:rPr>
        <w:t>（1）项目支出绩效目标是项目预算管理的重要环节，是项目绩效监控和绩效评价的重要依据，下一步将</w:t>
      </w:r>
      <w:r>
        <w:t>加强对绩效目标的理解</w:t>
      </w:r>
      <w:r>
        <w:rPr>
          <w:rFonts w:hint="eastAsia"/>
        </w:rPr>
        <w:t>，</w:t>
      </w:r>
      <w:r>
        <w:t>完善项目支出绩效目标的设置</w:t>
      </w:r>
      <w:r>
        <w:rPr>
          <w:rFonts w:hint="eastAsia"/>
        </w:rPr>
        <w:t>。</w:t>
      </w:r>
      <w:r>
        <w:rPr>
          <w:rFonts w:hint="eastAsia"/>
          <w:b/>
          <w:bCs/>
        </w:rPr>
        <w:t>一是</w:t>
      </w:r>
      <w:r>
        <w:t>设定绩效目标</w:t>
      </w:r>
      <w:r>
        <w:rPr>
          <w:rFonts w:hint="eastAsia"/>
        </w:rPr>
        <w:t>时要</w:t>
      </w:r>
      <w:r>
        <w:t>做到指向明确、细化量化、合理可行、相应匹配</w:t>
      </w:r>
      <w:r>
        <w:rPr>
          <w:rFonts w:hint="eastAsia"/>
        </w:rPr>
        <w:t>，除了设置年度绩效目标外，还应当将年度绩效目标进行细化与分解进而设置阶段性目标，并明确阶段及对应的阶段任务；</w:t>
      </w:r>
      <w:r>
        <w:rPr>
          <w:rFonts w:hint="eastAsia"/>
          <w:b/>
          <w:bCs/>
        </w:rPr>
        <w:t>二是</w:t>
      </w:r>
      <w:r>
        <w:rPr>
          <w:rFonts w:hint="eastAsia"/>
        </w:rPr>
        <w:t>对年度绩效目标的设置要体现出项目的产出与效益。对相关人员进行培训，避免绩效目标设置</w:t>
      </w:r>
      <w:r>
        <w:t>的随意性，</w:t>
      </w:r>
      <w:r>
        <w:rPr>
          <w:rFonts w:hint="eastAsia"/>
        </w:rPr>
        <w:t>便于</w:t>
      </w:r>
      <w:r>
        <w:t>后期项目实施过程中将绩效目标与实际情况进行对比，完整的监控资金使用效益。</w:t>
      </w:r>
    </w:p>
    <w:p>
      <w:pPr>
        <w:ind w:firstLine="560"/>
        <w:rPr>
          <w:rFonts w:hint="eastAsia"/>
          <w:lang w:val="zh-CN" w:eastAsia="zh-CN"/>
        </w:rPr>
      </w:pPr>
      <w:r>
        <w:rPr>
          <w:rFonts w:hint="eastAsia"/>
          <w:lang w:val="zh-CN" w:eastAsia="zh-CN"/>
        </w:rPr>
        <w:t>（</w:t>
      </w:r>
      <w:r>
        <w:rPr>
          <w:rFonts w:hint="eastAsia"/>
          <w:lang w:val="en-US" w:eastAsia="zh-CN"/>
        </w:rPr>
        <w:t>2</w:t>
      </w:r>
      <w:r>
        <w:rPr>
          <w:rFonts w:hint="eastAsia"/>
          <w:lang w:val="zh-CN" w:eastAsia="zh-CN"/>
        </w:rPr>
        <w:t>）</w:t>
      </w:r>
      <w:r>
        <w:rPr>
          <w:rFonts w:hint="eastAsia"/>
          <w:lang w:val="en-US" w:eastAsia="zh-CN"/>
        </w:rPr>
        <w:t>应</w:t>
      </w:r>
      <w:r>
        <w:rPr>
          <w:rFonts w:hint="eastAsia"/>
          <w:lang w:val="zh-CN" w:eastAsia="zh-CN"/>
        </w:rPr>
        <w:t>制定能长期保证制度正常运行并发挥预期功能的制度体系。长效机制不是一劳永逸、一成不变的，要随着时间、条件的变化而不断丰富、发展和完善。应把落实责任、量化考评、严格奖惩、加强安保、强化内部管理等制度完善到长效机制中，保证医保经办服务大厅正常运转。</w:t>
      </w:r>
    </w:p>
    <w:p>
      <w:pPr>
        <w:ind w:firstLine="560"/>
      </w:pPr>
      <w:r>
        <w:rPr>
          <w:rFonts w:hint="eastAsia"/>
        </w:rPr>
        <w:t>（</w:t>
      </w:r>
      <w:r>
        <w:rPr>
          <w:rFonts w:hint="eastAsia"/>
          <w:lang w:val="en-US" w:eastAsia="zh-CN"/>
        </w:rPr>
        <w:t>3</w:t>
      </w:r>
      <w:r>
        <w:rPr>
          <w:rFonts w:hint="eastAsia"/>
        </w:rPr>
        <w:t>）提高绩效管理意识，积极引入绩效理念，合理设定绩效</w:t>
      </w:r>
      <w:r>
        <w:rPr>
          <w:rFonts w:hint="eastAsia"/>
          <w:lang w:eastAsia="zh-CN"/>
        </w:rPr>
        <w:t>指标</w:t>
      </w:r>
      <w:r>
        <w:rPr>
          <w:rFonts w:hint="eastAsia"/>
        </w:rPr>
        <w:t>，建议</w:t>
      </w:r>
      <w:r>
        <w:rPr>
          <w:rFonts w:hint="eastAsia"/>
          <w:lang w:val="en-US" w:eastAsia="zh-CN"/>
        </w:rPr>
        <w:t>医疗保障局</w:t>
      </w:r>
      <w:r>
        <w:rPr>
          <w:rFonts w:hint="eastAsia"/>
        </w:rPr>
        <w:t>按照“谁申请资金，谁编制</w:t>
      </w:r>
      <w:r>
        <w:rPr>
          <w:rFonts w:hint="eastAsia"/>
          <w:lang w:eastAsia="zh-CN"/>
        </w:rPr>
        <w:t>指标</w:t>
      </w:r>
      <w:r>
        <w:rPr>
          <w:rFonts w:hint="eastAsia"/>
        </w:rPr>
        <w:t>”的原则， 根据</w:t>
      </w:r>
      <w:r>
        <w:rPr>
          <w:rFonts w:hint="eastAsia"/>
          <w:lang w:eastAsia="zh-CN"/>
        </w:rPr>
        <w:t>项目</w:t>
      </w:r>
      <w:r>
        <w:rPr>
          <w:rFonts w:hint="eastAsia"/>
        </w:rPr>
        <w:t>特点、资金安排、年度工作要点及资源配备情况， 从预期产出、预期效果和服务对象满意度等方面，制定出科学合理的绩效</w:t>
      </w:r>
      <w:r>
        <w:rPr>
          <w:rFonts w:hint="eastAsia"/>
          <w:lang w:eastAsia="zh-CN"/>
        </w:rPr>
        <w:t>指</w:t>
      </w:r>
      <w:r>
        <w:rPr>
          <w:rFonts w:hint="eastAsia"/>
        </w:rPr>
        <w:t>标，将绩效</w:t>
      </w:r>
      <w:r>
        <w:rPr>
          <w:rFonts w:hint="eastAsia"/>
          <w:lang w:eastAsia="zh-CN"/>
        </w:rPr>
        <w:t>指标</w:t>
      </w:r>
      <w:r>
        <w:rPr>
          <w:rFonts w:hint="eastAsia"/>
        </w:rPr>
        <w:t>标进行细化、量化，使其能充分反映出项目的产出和效果，然后报主管部门审核。</w:t>
      </w:r>
    </w:p>
    <w:bookmarkEnd w:id="31"/>
    <w:bookmarkEnd w:id="32"/>
    <w:p>
      <w:pPr>
        <w:ind w:firstLine="560"/>
        <w:rPr>
          <w:lang w:val="en-US"/>
        </w:rPr>
        <w:sectPr>
          <w:headerReference r:id="rId12" w:type="default"/>
          <w:footerReference r:id="rId13" w:type="default"/>
          <w:pgSz w:w="11910" w:h="16840"/>
          <w:pgMar w:top="1440" w:right="1803" w:bottom="1440" w:left="1803" w:header="851" w:footer="1111" w:gutter="0"/>
          <w:pgNumType w:start="1"/>
          <w:cols w:space="425" w:num="1"/>
        </w:sectPr>
      </w:pPr>
      <w:bookmarkStart w:id="33" w:name="_Toc25807"/>
      <w:r>
        <w:rPr>
          <w:rFonts w:hint="eastAsia"/>
          <w:lang w:val="en-US"/>
        </w:rPr>
        <w:br w:type="page"/>
      </w:r>
      <w:bookmarkStart w:id="34" w:name="_GoBack"/>
      <w:bookmarkEnd w:id="34"/>
    </w:p>
    <w:p>
      <w:pPr>
        <w:pStyle w:val="3"/>
        <w:spacing w:before="120"/>
        <w:ind w:left="0" w:leftChars="0" w:firstLine="321" w:firstLineChars="100"/>
        <w:rPr>
          <w:rFonts w:hint="eastAsia"/>
          <w:lang w:val="en-US" w:eastAsia="zh-CN"/>
        </w:rPr>
      </w:pPr>
      <w:r>
        <w:rPr>
          <w:rFonts w:hint="eastAsia"/>
        </w:rPr>
        <w:t>七</w:t>
      </w:r>
      <w:r>
        <w:t>、附件</w:t>
      </w:r>
    </w:p>
    <w:p>
      <w:pPr>
        <w:pStyle w:val="4"/>
        <w:spacing w:before="120"/>
        <w:rPr>
          <w:lang w:val="en-US"/>
        </w:rPr>
      </w:pPr>
      <w:r>
        <w:rPr>
          <w:rFonts w:hint="eastAsia"/>
          <w:lang w:val="en-US" w:eastAsia="zh-CN"/>
        </w:rPr>
        <w:t>1</w:t>
      </w:r>
      <w:r>
        <w:rPr>
          <w:rFonts w:hint="eastAsia"/>
          <w:lang w:val="en-US"/>
        </w:rPr>
        <w:t>.绩效评价指标体系</w:t>
      </w:r>
    </w:p>
    <w:tbl>
      <w:tblPr>
        <w:tblStyle w:val="18"/>
        <w:tblpPr w:leftFromText="180" w:rightFromText="180" w:vertAnchor="text" w:horzAnchor="page" w:tblpX="1611" w:tblpY="738"/>
        <w:tblOverlap w:val="never"/>
        <w:tblW w:w="13837" w:type="dxa"/>
        <w:tblInd w:w="0" w:type="dxa"/>
        <w:tblLayout w:type="autofit"/>
        <w:tblCellMar>
          <w:top w:w="0" w:type="dxa"/>
          <w:left w:w="108" w:type="dxa"/>
          <w:bottom w:w="0" w:type="dxa"/>
          <w:right w:w="108" w:type="dxa"/>
        </w:tblCellMar>
      </w:tblPr>
      <w:tblGrid>
        <w:gridCol w:w="1172"/>
        <w:gridCol w:w="612"/>
        <w:gridCol w:w="1296"/>
        <w:gridCol w:w="705"/>
        <w:gridCol w:w="2218"/>
        <w:gridCol w:w="612"/>
        <w:gridCol w:w="3029"/>
        <w:gridCol w:w="4193"/>
      </w:tblGrid>
      <w:tr>
        <w:tblPrEx>
          <w:tblCellMar>
            <w:top w:w="0" w:type="dxa"/>
            <w:left w:w="108" w:type="dxa"/>
            <w:bottom w:w="0" w:type="dxa"/>
            <w:right w:w="108" w:type="dxa"/>
          </w:tblCellMar>
        </w:tblPrEx>
        <w:trPr>
          <w:trHeight w:val="645" w:hRule="atLeast"/>
        </w:trPr>
        <w:tc>
          <w:tcPr>
            <w:tcW w:w="1172" w:type="dxa"/>
            <w:tcBorders>
              <w:top w:val="single" w:color="auto" w:sz="4" w:space="0"/>
              <w:left w:val="single" w:color="auto" w:sz="4" w:space="0"/>
              <w:bottom w:val="single" w:color="auto" w:sz="4" w:space="0"/>
              <w:right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highlight w:val="none"/>
                <w:lang w:val="en-US" w:bidi="ar-SA"/>
              </w:rPr>
            </w:pPr>
            <w:r>
              <w:rPr>
                <w:rFonts w:hint="eastAsia" w:ascii="仿宋_GB2312" w:hAnsi="宋体"/>
                <w:sz w:val="24"/>
                <w:szCs w:val="24"/>
                <w:highlight w:val="none"/>
                <w:lang w:val="en-US" w:bidi="ar-SA"/>
              </w:rPr>
              <w:t>一级指标</w:t>
            </w:r>
          </w:p>
        </w:tc>
        <w:tc>
          <w:tcPr>
            <w:tcW w:w="612" w:type="dxa"/>
            <w:tcBorders>
              <w:top w:val="single" w:color="auto" w:sz="4" w:space="0"/>
              <w:left w:val="nil"/>
              <w:bottom w:val="single" w:color="auto" w:sz="4" w:space="0"/>
              <w:right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highlight w:val="none"/>
                <w:lang w:val="en-US" w:bidi="ar-SA"/>
              </w:rPr>
            </w:pPr>
            <w:r>
              <w:rPr>
                <w:rFonts w:hint="eastAsia" w:ascii="仿宋_GB2312" w:hAnsi="宋体"/>
                <w:sz w:val="24"/>
                <w:szCs w:val="24"/>
                <w:highlight w:val="none"/>
                <w:lang w:val="en-US" w:bidi="ar-SA"/>
              </w:rPr>
              <w:t>权重</w:t>
            </w:r>
          </w:p>
        </w:tc>
        <w:tc>
          <w:tcPr>
            <w:tcW w:w="1296" w:type="dxa"/>
            <w:tcBorders>
              <w:top w:val="single" w:color="auto" w:sz="4" w:space="0"/>
              <w:left w:val="nil"/>
              <w:bottom w:val="single" w:color="auto" w:sz="4" w:space="0"/>
              <w:right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highlight w:val="none"/>
                <w:lang w:val="en-US" w:bidi="ar-SA"/>
              </w:rPr>
            </w:pPr>
            <w:r>
              <w:rPr>
                <w:rFonts w:hint="eastAsia" w:ascii="仿宋_GB2312" w:hAnsi="宋体"/>
                <w:sz w:val="24"/>
                <w:szCs w:val="24"/>
                <w:highlight w:val="none"/>
                <w:lang w:val="en-US" w:bidi="ar-SA"/>
              </w:rPr>
              <w:t>二级指标</w:t>
            </w:r>
          </w:p>
        </w:tc>
        <w:tc>
          <w:tcPr>
            <w:tcW w:w="705" w:type="dxa"/>
            <w:tcBorders>
              <w:top w:val="single" w:color="auto" w:sz="4" w:space="0"/>
              <w:left w:val="nil"/>
              <w:bottom w:val="single" w:color="auto" w:sz="4" w:space="0"/>
              <w:right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highlight w:val="none"/>
                <w:lang w:val="en-US" w:bidi="ar-SA"/>
              </w:rPr>
            </w:pPr>
            <w:r>
              <w:rPr>
                <w:rFonts w:hint="eastAsia" w:ascii="仿宋_GB2312" w:hAnsi="宋体"/>
                <w:sz w:val="24"/>
                <w:szCs w:val="24"/>
                <w:highlight w:val="none"/>
                <w:lang w:val="en-US" w:bidi="ar-SA"/>
              </w:rPr>
              <w:t>权重</w:t>
            </w:r>
          </w:p>
        </w:tc>
        <w:tc>
          <w:tcPr>
            <w:tcW w:w="2218" w:type="dxa"/>
            <w:tcBorders>
              <w:top w:val="single" w:color="auto" w:sz="4" w:space="0"/>
              <w:left w:val="nil"/>
              <w:bottom w:val="single" w:color="auto" w:sz="4" w:space="0"/>
              <w:right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highlight w:val="none"/>
                <w:lang w:val="en-US" w:bidi="ar-SA"/>
              </w:rPr>
            </w:pPr>
            <w:r>
              <w:rPr>
                <w:rFonts w:hint="eastAsia" w:ascii="仿宋_GB2312" w:hAnsi="宋体"/>
                <w:sz w:val="24"/>
                <w:szCs w:val="24"/>
                <w:highlight w:val="none"/>
                <w:lang w:val="en-US" w:bidi="ar-SA"/>
              </w:rPr>
              <w:t>三级指标</w:t>
            </w:r>
          </w:p>
        </w:tc>
        <w:tc>
          <w:tcPr>
            <w:tcW w:w="612" w:type="dxa"/>
            <w:tcBorders>
              <w:top w:val="single" w:color="auto" w:sz="4" w:space="0"/>
              <w:left w:val="nil"/>
              <w:bottom w:val="single" w:color="auto" w:sz="4" w:space="0"/>
              <w:right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highlight w:val="none"/>
                <w:lang w:val="en-US" w:bidi="ar-SA"/>
              </w:rPr>
            </w:pPr>
            <w:r>
              <w:rPr>
                <w:rFonts w:hint="eastAsia" w:ascii="仿宋_GB2312" w:hAnsi="宋体"/>
                <w:sz w:val="24"/>
                <w:szCs w:val="24"/>
                <w:highlight w:val="none"/>
                <w:lang w:val="en-US" w:bidi="ar-SA"/>
              </w:rPr>
              <w:t>分值</w:t>
            </w:r>
          </w:p>
        </w:tc>
        <w:tc>
          <w:tcPr>
            <w:tcW w:w="3029" w:type="dxa"/>
            <w:tcBorders>
              <w:top w:val="single" w:color="auto" w:sz="4" w:space="0"/>
              <w:left w:val="nil"/>
              <w:bottom w:val="nil"/>
              <w:right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highlight w:val="none"/>
                <w:lang w:val="en-US" w:bidi="ar-SA"/>
              </w:rPr>
            </w:pPr>
            <w:r>
              <w:rPr>
                <w:rFonts w:hint="eastAsia" w:ascii="仿宋_GB2312" w:hAnsi="宋体"/>
                <w:sz w:val="24"/>
                <w:szCs w:val="24"/>
                <w:highlight w:val="none"/>
                <w:lang w:val="en-US" w:bidi="ar-SA"/>
              </w:rPr>
              <w:t>指标解释</w:t>
            </w:r>
          </w:p>
        </w:tc>
        <w:tc>
          <w:tcPr>
            <w:tcW w:w="4193" w:type="dxa"/>
            <w:tcBorders>
              <w:top w:val="single" w:color="auto" w:sz="4" w:space="0"/>
              <w:left w:val="nil"/>
              <w:bottom w:val="nil"/>
              <w:right w:val="single" w:color="auto" w:sz="4" w:space="0"/>
            </w:tcBorders>
            <w:shd w:val="clear" w:color="000000" w:fill="99CCFF"/>
            <w:vAlign w:val="center"/>
          </w:tcPr>
          <w:p>
            <w:pPr>
              <w:widowControl/>
              <w:topLinePunct w:val="0"/>
              <w:spacing w:line="240" w:lineRule="auto"/>
              <w:ind w:firstLine="0" w:firstLineChars="0"/>
              <w:jc w:val="center"/>
              <w:rPr>
                <w:rFonts w:ascii="仿宋_GB2312" w:hAnsi="宋体"/>
                <w:sz w:val="24"/>
                <w:szCs w:val="24"/>
                <w:highlight w:val="none"/>
                <w:lang w:val="en-US" w:bidi="ar-SA"/>
              </w:rPr>
            </w:pPr>
            <w:r>
              <w:rPr>
                <w:rFonts w:hint="eastAsia" w:ascii="仿宋_GB2312" w:hAnsi="宋体"/>
                <w:sz w:val="24"/>
                <w:szCs w:val="24"/>
                <w:highlight w:val="none"/>
                <w:lang w:val="en-US" w:bidi="ar-SA"/>
              </w:rPr>
              <w:t>评价标准</w:t>
            </w:r>
          </w:p>
        </w:tc>
      </w:tr>
      <w:tr>
        <w:tblPrEx>
          <w:tblCellMar>
            <w:top w:w="0" w:type="dxa"/>
            <w:left w:w="108" w:type="dxa"/>
            <w:bottom w:w="0" w:type="dxa"/>
            <w:right w:w="108" w:type="dxa"/>
          </w:tblCellMar>
        </w:tblPrEx>
        <w:trPr>
          <w:trHeight w:val="1057" w:hRule="atLeast"/>
        </w:trPr>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决策</w:t>
            </w:r>
          </w:p>
        </w:tc>
        <w:tc>
          <w:tcPr>
            <w:tcW w:w="612" w:type="dxa"/>
            <w:vMerge w:val="restart"/>
            <w:tcBorders>
              <w:top w:val="nil"/>
              <w:left w:val="single" w:color="auto" w:sz="4" w:space="0"/>
              <w:bottom w:val="nil"/>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10</w:t>
            </w: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项目立项</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2</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立项依据充分性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1</w:t>
            </w:r>
          </w:p>
        </w:tc>
        <w:tc>
          <w:tcPr>
            <w:tcW w:w="30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color w:val="000000"/>
                <w:sz w:val="20"/>
                <w:szCs w:val="20"/>
                <w:highlight w:val="none"/>
                <w:lang w:val="en-US" w:bidi="ar-SA"/>
              </w:rPr>
            </w:pPr>
            <w:r>
              <w:rPr>
                <w:rFonts w:hint="eastAsia" w:ascii="仿宋_GB2312" w:hAnsi="宋体"/>
                <w:color w:val="000000"/>
                <w:sz w:val="20"/>
                <w:szCs w:val="20"/>
                <w:highlight w:val="none"/>
                <w:lang w:val="en-US" w:bidi="ar-SA"/>
              </w:rPr>
              <w:t>项目立项是否符合法律法规，相关政策、发展规划以及部门职责，用以反映和考核项目立项依据情况</w:t>
            </w:r>
          </w:p>
        </w:tc>
        <w:tc>
          <w:tcPr>
            <w:tcW w:w="4193" w:type="dxa"/>
            <w:tcBorders>
              <w:top w:val="single" w:color="auto" w:sz="4" w:space="0"/>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color w:val="000000"/>
                <w:sz w:val="20"/>
                <w:szCs w:val="20"/>
                <w:highlight w:val="none"/>
                <w:lang w:val="en-US" w:bidi="ar-SA"/>
              </w:rPr>
            </w:pPr>
            <w:r>
              <w:rPr>
                <w:rFonts w:hint="eastAsia" w:ascii="仿宋_GB2312" w:hAnsi="宋体"/>
                <w:color w:val="000000"/>
                <w:sz w:val="20"/>
                <w:szCs w:val="20"/>
                <w:highlight w:val="none"/>
                <w:lang w:val="en-US" w:bidi="ar-SA"/>
              </w:rPr>
              <w:t>符合法律法规，相关政策、发展规划以及部门职责，得</w:t>
            </w:r>
            <w:r>
              <w:rPr>
                <w:rFonts w:hint="eastAsia" w:ascii="仿宋_GB2312" w:cs="Times New Roman"/>
                <w:color w:val="000000"/>
                <w:sz w:val="20"/>
                <w:szCs w:val="20"/>
                <w:highlight w:val="none"/>
                <w:lang w:val="en-US" w:bidi="ar-SA"/>
              </w:rPr>
              <w:t>1</w:t>
            </w:r>
            <w:r>
              <w:rPr>
                <w:rFonts w:hint="eastAsia" w:ascii="仿宋_GB2312" w:hAnsi="宋体"/>
                <w:color w:val="000000"/>
                <w:sz w:val="20"/>
                <w:szCs w:val="20"/>
                <w:highlight w:val="none"/>
                <w:lang w:val="en-US" w:bidi="ar-SA"/>
              </w:rPr>
              <w:t>分</w:t>
            </w:r>
          </w:p>
        </w:tc>
      </w:tr>
      <w:tr>
        <w:tblPrEx>
          <w:tblCellMar>
            <w:top w:w="0" w:type="dxa"/>
            <w:left w:w="108" w:type="dxa"/>
            <w:bottom w:w="0" w:type="dxa"/>
            <w:right w:w="108" w:type="dxa"/>
          </w:tblCellMar>
        </w:tblPrEx>
        <w:trPr>
          <w:trHeight w:val="1061"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nil"/>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立项程序规范性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1</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color w:val="000000"/>
                <w:sz w:val="20"/>
                <w:szCs w:val="20"/>
                <w:highlight w:val="none"/>
                <w:lang w:val="en-US" w:bidi="ar-SA"/>
              </w:rPr>
            </w:pPr>
            <w:r>
              <w:rPr>
                <w:rFonts w:hint="eastAsia" w:ascii="仿宋_GB2312" w:hAnsi="宋体"/>
                <w:color w:val="000000"/>
                <w:sz w:val="20"/>
                <w:szCs w:val="20"/>
                <w:highlight w:val="none"/>
                <w:lang w:val="en-US" w:bidi="ar-SA"/>
              </w:rPr>
              <w:t>项目是否有明确、齐全的项目申报依据、申报文本、批复文件，项目是否必要</w:t>
            </w:r>
            <w:r>
              <w:rPr>
                <w:rFonts w:hint="eastAsia" w:ascii="仿宋_GB2312" w:cs="Times New Roman"/>
                <w:color w:val="000000"/>
                <w:sz w:val="20"/>
                <w:szCs w:val="20"/>
                <w:highlight w:val="none"/>
                <w:lang w:val="en-US" w:bidi="ar-SA"/>
              </w:rPr>
              <w:t xml:space="preserve"> </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eastAsia="仿宋_GB2312" w:cs="Times New Roman"/>
                <w:color w:val="000000"/>
                <w:sz w:val="20"/>
                <w:szCs w:val="20"/>
                <w:highlight w:val="none"/>
                <w:lang w:val="en-US" w:eastAsia="zh-CN" w:bidi="ar-SA"/>
              </w:rPr>
            </w:pPr>
            <w:r>
              <w:rPr>
                <w:rFonts w:hint="eastAsia" w:ascii="仿宋_GB2312" w:hAnsi="宋体" w:cs="Times New Roman"/>
                <w:color w:val="000000"/>
                <w:sz w:val="20"/>
                <w:szCs w:val="20"/>
                <w:highlight w:val="none"/>
                <w:lang w:val="en-US" w:bidi="ar-SA"/>
              </w:rPr>
              <w:t>①有明确、齐全的项目申报依据、申报文本、批复文件，得</w:t>
            </w:r>
            <w:r>
              <w:rPr>
                <w:rFonts w:hint="eastAsia" w:ascii="仿宋_GB2312" w:cs="Times New Roman"/>
                <w:color w:val="000000"/>
                <w:sz w:val="20"/>
                <w:szCs w:val="20"/>
                <w:highlight w:val="none"/>
                <w:lang w:val="en-US" w:bidi="ar-SA"/>
              </w:rPr>
              <w:t>1</w:t>
            </w:r>
            <w:r>
              <w:rPr>
                <w:rFonts w:hint="eastAsia" w:ascii="仿宋_GB2312" w:hAnsi="宋体" w:cs="Times New Roman"/>
                <w:color w:val="000000"/>
                <w:sz w:val="20"/>
                <w:szCs w:val="20"/>
                <w:highlight w:val="none"/>
                <w:lang w:val="en-US" w:bidi="ar-SA"/>
              </w:rPr>
              <w:t>分</w:t>
            </w:r>
            <w:r>
              <w:rPr>
                <w:rFonts w:hint="eastAsia" w:ascii="仿宋_GB2312" w:cs="Times New Roman"/>
                <w:color w:val="000000"/>
                <w:sz w:val="20"/>
                <w:szCs w:val="20"/>
                <w:highlight w:val="none"/>
                <w:lang w:val="en-US" w:bidi="ar-SA"/>
              </w:rPr>
              <w:t>;</w:t>
            </w:r>
          </w:p>
          <w:p>
            <w:pPr>
              <w:widowControl/>
              <w:topLinePunct w:val="0"/>
              <w:spacing w:line="240" w:lineRule="auto"/>
              <w:ind w:firstLine="0" w:firstLineChars="0"/>
              <w:jc w:val="left"/>
              <w:rPr>
                <w:rFonts w:ascii="仿宋_GB2312" w:cs="Times New Roman"/>
                <w:color w:val="000000"/>
                <w:sz w:val="20"/>
                <w:szCs w:val="20"/>
                <w:highlight w:val="none"/>
                <w:lang w:val="en-US" w:bidi="ar-SA"/>
              </w:rPr>
            </w:pPr>
            <w:r>
              <w:rPr>
                <w:rFonts w:hint="eastAsia" w:ascii="仿宋_GB2312" w:hAnsi="宋体" w:cs="Times New Roman"/>
                <w:color w:val="000000"/>
                <w:sz w:val="20"/>
                <w:szCs w:val="20"/>
                <w:highlight w:val="none"/>
                <w:lang w:val="en-US" w:bidi="ar-SA"/>
              </w:rPr>
              <w:t>②项目申报依据、申报文本、批复文件不齐全不得分</w:t>
            </w:r>
          </w:p>
        </w:tc>
      </w:tr>
      <w:tr>
        <w:tblPrEx>
          <w:tblCellMar>
            <w:top w:w="0" w:type="dxa"/>
            <w:left w:w="108" w:type="dxa"/>
            <w:bottom w:w="0" w:type="dxa"/>
            <w:right w:w="108" w:type="dxa"/>
          </w:tblCellMar>
        </w:tblPrEx>
        <w:trPr>
          <w:trHeight w:val="1582"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nil"/>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绩效目标</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4</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绩效目标明确性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2</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color w:val="000000"/>
                <w:sz w:val="20"/>
                <w:szCs w:val="20"/>
                <w:highlight w:val="none"/>
                <w:lang w:val="en-US" w:bidi="ar-SA"/>
              </w:rPr>
            </w:pPr>
            <w:r>
              <w:rPr>
                <w:rFonts w:hint="eastAsia" w:ascii="仿宋_GB2312" w:hAnsi="宋体"/>
                <w:color w:val="000000"/>
                <w:sz w:val="20"/>
                <w:szCs w:val="20"/>
                <w:highlight w:val="none"/>
                <w:lang w:val="en-US" w:bidi="ar-SA"/>
              </w:rPr>
              <w:t>项目单位是否设置项目总体绩效目标和阶段目标，项目总体绩效目标是否与本行业中长期发展规划密切相关 ，项目阶段性绩效目标与单位的年度计划相关</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cs="Times New Roman"/>
                <w:color w:val="000000"/>
                <w:sz w:val="20"/>
                <w:szCs w:val="20"/>
                <w:highlight w:val="none"/>
                <w:lang w:val="en-US" w:eastAsia="zh-CN" w:bidi="ar-SA"/>
              </w:rPr>
            </w:pPr>
            <w:r>
              <w:rPr>
                <w:rFonts w:hint="eastAsia" w:ascii="仿宋_GB2312" w:hAnsi="宋体" w:cs="Times New Roman"/>
                <w:color w:val="000000"/>
                <w:sz w:val="20"/>
                <w:szCs w:val="20"/>
                <w:highlight w:val="none"/>
                <w:lang w:val="en-US" w:bidi="ar-SA"/>
              </w:rPr>
              <w:t>①设置的绩效目标明确、合理，与项目单位职责密切相关得</w:t>
            </w:r>
            <w:r>
              <w:rPr>
                <w:rFonts w:hint="eastAsia" w:ascii="仿宋_GB2312" w:cs="Times New Roman"/>
                <w:color w:val="000000"/>
                <w:sz w:val="20"/>
                <w:szCs w:val="20"/>
                <w:highlight w:val="none"/>
                <w:lang w:val="en-US" w:bidi="ar-SA"/>
              </w:rPr>
              <w:t>2</w:t>
            </w:r>
            <w:r>
              <w:rPr>
                <w:rFonts w:hint="eastAsia" w:ascii="仿宋_GB2312" w:hAnsi="宋体" w:cs="Times New Roman"/>
                <w:color w:val="000000"/>
                <w:sz w:val="20"/>
                <w:szCs w:val="20"/>
                <w:highlight w:val="none"/>
                <w:lang w:val="en-US" w:bidi="ar-SA"/>
              </w:rPr>
              <w:t>分；</w:t>
            </w:r>
          </w:p>
          <w:p>
            <w:pPr>
              <w:widowControl/>
              <w:topLinePunct w:val="0"/>
              <w:spacing w:line="240" w:lineRule="auto"/>
              <w:ind w:firstLine="0" w:firstLineChars="0"/>
              <w:jc w:val="left"/>
              <w:rPr>
                <w:rFonts w:hint="eastAsia" w:ascii="仿宋_GB2312" w:hAnsi="宋体" w:eastAsia="仿宋_GB2312" w:cs="Times New Roman"/>
                <w:color w:val="000000"/>
                <w:sz w:val="20"/>
                <w:szCs w:val="20"/>
                <w:highlight w:val="none"/>
                <w:lang w:val="en-US" w:eastAsia="zh-CN" w:bidi="ar-SA"/>
              </w:rPr>
            </w:pPr>
            <w:r>
              <w:rPr>
                <w:rFonts w:hint="eastAsia" w:ascii="仿宋_GB2312" w:hAnsi="宋体" w:cs="Times New Roman"/>
                <w:color w:val="000000"/>
                <w:sz w:val="20"/>
                <w:szCs w:val="20"/>
                <w:highlight w:val="none"/>
                <w:lang w:val="en-US" w:bidi="ar-SA"/>
              </w:rPr>
              <w:t>②设置的绩效目标较为合理，与项目单位职责相关得</w:t>
            </w:r>
            <w:r>
              <w:rPr>
                <w:rFonts w:hint="eastAsia" w:ascii="仿宋_GB2312" w:cs="Times New Roman"/>
                <w:color w:val="000000"/>
                <w:sz w:val="20"/>
                <w:szCs w:val="20"/>
                <w:highlight w:val="none"/>
                <w:lang w:val="en-US" w:bidi="ar-SA"/>
              </w:rPr>
              <w:t>1</w:t>
            </w:r>
            <w:r>
              <w:rPr>
                <w:rFonts w:hint="eastAsia" w:ascii="仿宋_GB2312" w:hAnsi="宋体" w:cs="Times New Roman"/>
                <w:color w:val="000000"/>
                <w:sz w:val="20"/>
                <w:szCs w:val="20"/>
                <w:highlight w:val="none"/>
                <w:lang w:val="en-US" w:bidi="ar-SA"/>
              </w:rPr>
              <w:t>分；</w:t>
            </w:r>
          </w:p>
          <w:p>
            <w:pPr>
              <w:widowControl/>
              <w:topLinePunct w:val="0"/>
              <w:spacing w:line="240" w:lineRule="auto"/>
              <w:ind w:firstLine="0" w:firstLineChars="0"/>
              <w:jc w:val="left"/>
              <w:rPr>
                <w:rFonts w:ascii="仿宋_GB2312" w:cs="Times New Roman"/>
                <w:color w:val="000000"/>
                <w:sz w:val="20"/>
                <w:szCs w:val="20"/>
                <w:highlight w:val="none"/>
                <w:lang w:val="en-US" w:bidi="ar-SA"/>
              </w:rPr>
            </w:pPr>
            <w:r>
              <w:rPr>
                <w:rFonts w:hint="eastAsia" w:ascii="仿宋_GB2312" w:hAnsi="宋体" w:cs="Times New Roman"/>
                <w:color w:val="000000"/>
                <w:sz w:val="20"/>
                <w:szCs w:val="20"/>
                <w:highlight w:val="none"/>
                <w:lang w:val="en-US" w:bidi="ar-SA"/>
              </w:rPr>
              <w:t>③设置了绩效目标，但目标不够明确、不够合理或未设置绩效目标不得分</w:t>
            </w:r>
            <w:r>
              <w:rPr>
                <w:rFonts w:hint="eastAsia" w:ascii="仿宋_GB2312" w:cs="Times New Roman"/>
                <w:color w:val="000000"/>
                <w:sz w:val="20"/>
                <w:szCs w:val="20"/>
                <w:highlight w:val="none"/>
                <w:lang w:val="en-US" w:bidi="ar-SA"/>
              </w:rPr>
              <w:t xml:space="preserve"> </w:t>
            </w:r>
          </w:p>
        </w:tc>
      </w:tr>
      <w:tr>
        <w:tblPrEx>
          <w:tblCellMar>
            <w:top w:w="0" w:type="dxa"/>
            <w:left w:w="108" w:type="dxa"/>
            <w:bottom w:w="0" w:type="dxa"/>
            <w:right w:w="108" w:type="dxa"/>
          </w:tblCellMar>
        </w:tblPrEx>
        <w:trPr>
          <w:trHeight w:val="1057"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nil"/>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绩效指标合理性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2</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color w:val="000000"/>
                <w:sz w:val="20"/>
                <w:szCs w:val="20"/>
                <w:highlight w:val="none"/>
                <w:lang w:val="en-US" w:bidi="ar-SA"/>
              </w:rPr>
            </w:pPr>
            <w:r>
              <w:rPr>
                <w:rFonts w:hint="eastAsia" w:ascii="仿宋_GB2312" w:hAnsi="宋体"/>
                <w:color w:val="000000"/>
                <w:sz w:val="20"/>
                <w:szCs w:val="20"/>
                <w:highlight w:val="none"/>
                <w:lang w:val="en-US" w:bidi="ar-SA"/>
              </w:rPr>
              <w:t>依据绩效目标设定的绩效指标是否清晰、细化、可衡量等，用以反映和考核项目绩效指标的设置情况</w:t>
            </w:r>
            <w:r>
              <w:rPr>
                <w:rFonts w:hint="eastAsia" w:ascii="仿宋_GB2312" w:cs="Times New Roman"/>
                <w:color w:val="000000"/>
                <w:sz w:val="20"/>
                <w:szCs w:val="20"/>
                <w:highlight w:val="none"/>
                <w:lang w:val="en-US" w:bidi="ar-SA"/>
              </w:rPr>
              <w:t xml:space="preserve"> </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color w:val="000000"/>
                <w:sz w:val="20"/>
                <w:szCs w:val="20"/>
                <w:highlight w:val="none"/>
                <w:lang w:val="en-US" w:bidi="ar-SA"/>
              </w:rPr>
            </w:pPr>
            <w:r>
              <w:rPr>
                <w:rFonts w:hint="eastAsia" w:ascii="仿宋_GB2312" w:hAnsi="宋体"/>
                <w:color w:val="000000"/>
                <w:sz w:val="20"/>
                <w:szCs w:val="20"/>
                <w:highlight w:val="none"/>
                <w:lang w:val="en-US" w:bidi="ar-SA"/>
              </w:rPr>
              <w:t>指标清晰、细化、可衡量得</w:t>
            </w:r>
            <w:r>
              <w:rPr>
                <w:rFonts w:hint="eastAsia" w:ascii="仿宋_GB2312" w:cs="Times New Roman"/>
                <w:color w:val="000000"/>
                <w:sz w:val="20"/>
                <w:szCs w:val="20"/>
                <w:highlight w:val="none"/>
                <w:lang w:val="en-US" w:bidi="ar-SA"/>
              </w:rPr>
              <w:t>2</w:t>
            </w:r>
            <w:r>
              <w:rPr>
                <w:rFonts w:hint="eastAsia" w:ascii="仿宋_GB2312" w:hAnsi="宋体"/>
                <w:color w:val="000000"/>
                <w:sz w:val="20"/>
                <w:szCs w:val="20"/>
                <w:highlight w:val="none"/>
                <w:lang w:val="en-US" w:bidi="ar-SA"/>
              </w:rPr>
              <w:t>分，否则不得分</w:t>
            </w:r>
            <w:r>
              <w:rPr>
                <w:rFonts w:hint="eastAsia" w:ascii="仿宋_GB2312" w:cs="Times New Roman"/>
                <w:color w:val="000000"/>
                <w:sz w:val="20"/>
                <w:szCs w:val="20"/>
                <w:highlight w:val="none"/>
                <w:lang w:val="en-US" w:bidi="ar-SA"/>
              </w:rPr>
              <w:t xml:space="preserve"> </w:t>
            </w:r>
          </w:p>
        </w:tc>
      </w:tr>
      <w:tr>
        <w:tblPrEx>
          <w:tblCellMar>
            <w:top w:w="0" w:type="dxa"/>
            <w:left w:w="108" w:type="dxa"/>
            <w:bottom w:w="0" w:type="dxa"/>
            <w:right w:w="108" w:type="dxa"/>
          </w:tblCellMar>
        </w:tblPrEx>
        <w:trPr>
          <w:trHeight w:val="1319"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nil"/>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资金投入</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4</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资金分配合理性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2</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color w:val="000000"/>
                <w:sz w:val="20"/>
                <w:szCs w:val="20"/>
                <w:highlight w:val="none"/>
                <w:lang w:val="en-US" w:bidi="ar-SA"/>
              </w:rPr>
            </w:pPr>
            <w:r>
              <w:rPr>
                <w:rFonts w:hint="eastAsia" w:ascii="仿宋_GB2312" w:hAnsi="宋体"/>
                <w:color w:val="000000"/>
                <w:sz w:val="20"/>
                <w:szCs w:val="20"/>
                <w:highlight w:val="none"/>
                <w:lang w:val="en-US" w:bidi="ar-SA"/>
              </w:rPr>
              <w:t>项目预算资金分配是否有测算依据，与地方实际是否相适应，用以反映和考核项目预算资金分配的科学性、合理性情况。</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color w:val="000000"/>
                <w:sz w:val="20"/>
                <w:szCs w:val="20"/>
                <w:highlight w:val="none"/>
                <w:lang w:val="en-US" w:bidi="ar-SA"/>
              </w:rPr>
            </w:pPr>
            <w:r>
              <w:rPr>
                <w:rFonts w:hint="eastAsia" w:ascii="仿宋_GB2312" w:hAnsi="宋体"/>
                <w:color w:val="000000"/>
                <w:sz w:val="20"/>
                <w:szCs w:val="20"/>
                <w:highlight w:val="none"/>
                <w:lang w:val="en-US" w:bidi="ar-SA"/>
              </w:rPr>
              <w:t>①预算资金分配依据是否充分；②资金分配额度是否合理，与项目单位或地方实际是否相适应；③分配结果相对公平合理。</w:t>
            </w:r>
          </w:p>
        </w:tc>
      </w:tr>
      <w:tr>
        <w:tblPrEx>
          <w:tblCellMar>
            <w:top w:w="0" w:type="dxa"/>
            <w:left w:w="108" w:type="dxa"/>
            <w:bottom w:w="0" w:type="dxa"/>
            <w:right w:w="108" w:type="dxa"/>
          </w:tblCellMar>
        </w:tblPrEx>
        <w:trPr>
          <w:trHeight w:val="1319"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nil"/>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预算编制科学性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2</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项目预算编制是否经过科学论证、有明确标准，资金额度与年度目标是否相适应，用以反映和考核项目预算编制的科学性、合理性情况。</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①预算编制经过科学论证，测算依据充分，资金额度与年度目标相适应的得2分，</w:t>
            </w:r>
          </w:p>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②预算编制科学性、合理性不足的，视情况酌情评分。</w:t>
            </w:r>
          </w:p>
        </w:tc>
      </w:tr>
      <w:tr>
        <w:tblPrEx>
          <w:tblCellMar>
            <w:top w:w="0" w:type="dxa"/>
            <w:left w:w="108" w:type="dxa"/>
            <w:bottom w:w="0" w:type="dxa"/>
            <w:right w:w="108" w:type="dxa"/>
          </w:tblCellMar>
        </w:tblPrEx>
        <w:trPr>
          <w:trHeight w:val="802" w:hRule="atLeast"/>
        </w:trPr>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过程</w:t>
            </w:r>
          </w:p>
        </w:tc>
        <w:tc>
          <w:tcPr>
            <w:tcW w:w="6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30</w:t>
            </w: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资金管理</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15</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资金到位率</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5</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规定时间内实际到位资金与计划到位资金的比率，用以反映资金下达情况</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 xml:space="preserve">资金下达率为100%得5分，否则不得分 </w:t>
            </w:r>
          </w:p>
        </w:tc>
      </w:tr>
      <w:tr>
        <w:tblPrEx>
          <w:tblCellMar>
            <w:top w:w="0" w:type="dxa"/>
            <w:left w:w="108" w:type="dxa"/>
            <w:bottom w:w="0" w:type="dxa"/>
            <w:right w:w="108" w:type="dxa"/>
          </w:tblCellMar>
        </w:tblPrEx>
        <w:trPr>
          <w:trHeight w:val="1466"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预算执行率</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5</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用以反映和考核资金的实际执行情况。预算执行率 =（实际支出金额/年度预算金额）×100%</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①预算执行率为100%得满分分；</w:t>
            </w:r>
          </w:p>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②90%≤预算执行率&lt;100%得3分；</w:t>
            </w:r>
          </w:p>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③80%≤预算执行率&lt;90%得2分；</w:t>
            </w:r>
          </w:p>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④70%≤预算执行率&lt;80%得1分；</w:t>
            </w:r>
          </w:p>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 xml:space="preserve">⑤预算执行率＜70%，不得分 </w:t>
            </w:r>
          </w:p>
        </w:tc>
      </w:tr>
      <w:tr>
        <w:tblPrEx>
          <w:tblCellMar>
            <w:top w:w="0" w:type="dxa"/>
            <w:left w:w="108" w:type="dxa"/>
            <w:bottom w:w="0" w:type="dxa"/>
            <w:right w:w="108" w:type="dxa"/>
          </w:tblCellMar>
        </w:tblPrEx>
        <w:trPr>
          <w:trHeight w:val="3415"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资金使用合规性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5</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 xml:space="preserve">项目资金使用是否符合相关的财务管理制度规定，用以反映和考核项目资金的规范运行情况 </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资金支出合规的得满分</w:t>
            </w:r>
          </w:p>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①资金使用符合国家财经法规和财务管理制度，否则不得分；</w:t>
            </w:r>
          </w:p>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②资金的拨付没有完整的审批程序和手续，每发现1起，扣除1分，直至扣完；</w:t>
            </w:r>
          </w:p>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③资金支出范围不符合预算批复或管理办法规定的，每发现1起，扣除2分，直至扣完；</w:t>
            </w:r>
          </w:p>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④如出现资金使用截留、挤占、挪用、虚列支出等情况，每发现1起，扣除1分，直至扣完；</w:t>
            </w:r>
          </w:p>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⑤如相关的会计核算不够规范，会计核算科目设与预算明细不一致，会计信息不真实、不准确的，每发现1起，扣除1分，直至扣完。</w:t>
            </w:r>
          </w:p>
        </w:tc>
      </w:tr>
      <w:tr>
        <w:tblPrEx>
          <w:tblCellMar>
            <w:top w:w="0" w:type="dxa"/>
            <w:left w:w="108" w:type="dxa"/>
            <w:bottom w:w="0" w:type="dxa"/>
            <w:right w:w="108" w:type="dxa"/>
          </w:tblCellMar>
        </w:tblPrEx>
        <w:trPr>
          <w:trHeight w:val="1225"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组织实施</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15</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管理制度健全性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8</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color w:val="000000"/>
                <w:sz w:val="18"/>
                <w:szCs w:val="18"/>
                <w:highlight w:val="none"/>
                <w:lang w:val="en-US" w:bidi="ar-SA"/>
              </w:rPr>
              <w:t>用以反映和考核财务和业务管理制度对项目顺利实施的保障情况。</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bidi="ar-SA"/>
              </w:rPr>
              <w:t>①财务管理制度、风险管控制度健全，且执行到位的得5分；</w:t>
            </w:r>
          </w:p>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②财务管理制度、风险管控制度缺失，制度执行不到位的分别扣除1分。</w:t>
            </w:r>
          </w:p>
        </w:tc>
      </w:tr>
      <w:tr>
        <w:tblPrEx>
          <w:tblCellMar>
            <w:top w:w="0" w:type="dxa"/>
            <w:left w:w="108" w:type="dxa"/>
            <w:bottom w:w="0" w:type="dxa"/>
            <w:right w:w="108" w:type="dxa"/>
          </w:tblCellMar>
        </w:tblPrEx>
        <w:trPr>
          <w:trHeight w:val="677" w:hRule="atLeast"/>
        </w:trPr>
        <w:tc>
          <w:tcPr>
            <w:tcW w:w="117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single" w:color="auto" w:sz="4" w:space="0"/>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noWrap/>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监管有效性</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7</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color w:val="000000"/>
                <w:sz w:val="18"/>
                <w:szCs w:val="18"/>
                <w:highlight w:val="none"/>
                <w:lang w:val="en-US" w:bidi="ar-SA"/>
              </w:rPr>
              <w:t>考察对</w:t>
            </w:r>
            <w:r>
              <w:rPr>
                <w:rFonts w:hint="eastAsia" w:ascii="仿宋_GB2312" w:hAnsi="宋体"/>
                <w:color w:val="000000"/>
                <w:sz w:val="18"/>
                <w:szCs w:val="18"/>
                <w:highlight w:val="none"/>
                <w:lang w:val="en-US" w:eastAsia="zh-CN" w:bidi="ar-SA"/>
              </w:rPr>
              <w:t>医保大厅运行</w:t>
            </w:r>
            <w:r>
              <w:rPr>
                <w:rFonts w:hint="eastAsia" w:ascii="仿宋_GB2312" w:hAnsi="宋体"/>
                <w:color w:val="000000"/>
                <w:sz w:val="18"/>
                <w:szCs w:val="18"/>
                <w:highlight w:val="none"/>
                <w:lang w:val="en-US" w:bidi="ar-SA"/>
              </w:rPr>
              <w:t>工作监管情况。</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对</w:t>
            </w:r>
            <w:r>
              <w:rPr>
                <w:rFonts w:hint="eastAsia" w:ascii="仿宋_GB2312" w:hAnsi="宋体"/>
                <w:sz w:val="20"/>
                <w:szCs w:val="20"/>
                <w:highlight w:val="none"/>
                <w:lang w:val="en-US" w:eastAsia="zh-CN" w:bidi="ar-SA"/>
              </w:rPr>
              <w:t>医保大厅运行工作</w:t>
            </w:r>
            <w:r>
              <w:rPr>
                <w:rFonts w:hint="eastAsia" w:ascii="仿宋_GB2312" w:hAnsi="宋体"/>
                <w:sz w:val="20"/>
                <w:szCs w:val="20"/>
                <w:highlight w:val="none"/>
                <w:lang w:val="en-US" w:bidi="ar-SA"/>
              </w:rPr>
              <w:t>有效的检查、监控，得5分；否则，视情况扣分</w:t>
            </w:r>
          </w:p>
        </w:tc>
      </w:tr>
      <w:tr>
        <w:tblPrEx>
          <w:tblCellMar>
            <w:top w:w="0" w:type="dxa"/>
            <w:left w:w="108" w:type="dxa"/>
            <w:bottom w:w="0" w:type="dxa"/>
            <w:right w:w="108" w:type="dxa"/>
          </w:tblCellMar>
        </w:tblPrEx>
        <w:trPr>
          <w:trHeight w:val="562" w:hRule="atLeast"/>
        </w:trPr>
        <w:tc>
          <w:tcPr>
            <w:tcW w:w="1172" w:type="dxa"/>
            <w:vMerge w:val="restart"/>
            <w:tcBorders>
              <w:top w:val="nil"/>
              <w:left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项目产出</w:t>
            </w:r>
          </w:p>
        </w:tc>
        <w:tc>
          <w:tcPr>
            <w:tcW w:w="612"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30</w:t>
            </w:r>
          </w:p>
        </w:tc>
        <w:tc>
          <w:tcPr>
            <w:tcW w:w="1296"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产出数量</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15</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大厅保洁</w:t>
            </w:r>
            <w:r>
              <w:rPr>
                <w:rFonts w:hint="eastAsia" w:ascii="仿宋_GB2312" w:hAnsi="宋体"/>
                <w:sz w:val="20"/>
                <w:szCs w:val="20"/>
                <w:highlight w:val="none"/>
                <w:lang w:val="en-US" w:bidi="ar-SA"/>
              </w:rPr>
              <w:t>面积</w:t>
            </w:r>
          </w:p>
        </w:tc>
        <w:tc>
          <w:tcPr>
            <w:tcW w:w="612" w:type="dxa"/>
            <w:tcBorders>
              <w:top w:val="nil"/>
              <w:left w:val="nil"/>
              <w:bottom w:val="single" w:color="auto" w:sz="4" w:space="0"/>
              <w:right w:val="nil"/>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5</w:t>
            </w:r>
          </w:p>
        </w:tc>
        <w:tc>
          <w:tcPr>
            <w:tcW w:w="3029"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考察</w:t>
            </w:r>
            <w:r>
              <w:rPr>
                <w:rFonts w:hint="eastAsia" w:ascii="仿宋_GB2312" w:hAnsi="宋体"/>
                <w:sz w:val="20"/>
                <w:szCs w:val="20"/>
                <w:highlight w:val="none"/>
                <w:lang w:val="en-US" w:eastAsia="zh-CN" w:bidi="ar-SA"/>
              </w:rPr>
              <w:t>医保大厅保洁</w:t>
            </w:r>
            <w:r>
              <w:rPr>
                <w:rFonts w:hint="eastAsia" w:ascii="仿宋_GB2312" w:hAnsi="宋体"/>
                <w:sz w:val="20"/>
                <w:szCs w:val="20"/>
                <w:highlight w:val="none"/>
                <w:lang w:val="en-US" w:bidi="ar-SA"/>
              </w:rPr>
              <w:t>面积</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医保大厅保洁总面积符合相关文件的要求，否则不得分</w:t>
            </w:r>
          </w:p>
        </w:tc>
      </w:tr>
      <w:tr>
        <w:tblPrEx>
          <w:tblCellMar>
            <w:top w:w="0" w:type="dxa"/>
            <w:left w:w="108" w:type="dxa"/>
            <w:bottom w:w="0" w:type="dxa"/>
            <w:right w:w="108" w:type="dxa"/>
          </w:tblCellMar>
        </w:tblPrEx>
        <w:trPr>
          <w:trHeight w:val="533" w:hRule="atLeast"/>
        </w:trPr>
        <w:tc>
          <w:tcPr>
            <w:tcW w:w="1172" w:type="dxa"/>
            <w:vMerge w:val="continue"/>
            <w:tcBorders>
              <w:left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购买工服数量</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4</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考察</w:t>
            </w:r>
            <w:r>
              <w:rPr>
                <w:rFonts w:hint="eastAsia" w:ascii="仿宋_GB2312" w:hAnsi="宋体"/>
                <w:sz w:val="20"/>
                <w:szCs w:val="20"/>
                <w:highlight w:val="none"/>
                <w:lang w:val="en-US" w:eastAsia="zh-CN" w:bidi="ar-SA"/>
              </w:rPr>
              <w:t>购买工作人员工作服装</w:t>
            </w:r>
            <w:r>
              <w:rPr>
                <w:rFonts w:hint="eastAsia" w:ascii="仿宋_GB2312" w:hAnsi="宋体"/>
                <w:sz w:val="20"/>
                <w:szCs w:val="20"/>
                <w:highlight w:val="none"/>
                <w:lang w:val="en-US" w:bidi="ar-SA"/>
              </w:rPr>
              <w:t>的数量</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eastAsia="zh-CN" w:bidi="ar-SA"/>
              </w:rPr>
              <w:t>是否与签订的合同数量一致</w:t>
            </w:r>
            <w:r>
              <w:rPr>
                <w:rFonts w:hint="eastAsia" w:ascii="仿宋_GB2312" w:hAnsi="宋体"/>
                <w:sz w:val="20"/>
                <w:szCs w:val="20"/>
                <w:highlight w:val="none"/>
                <w:lang w:val="en-US" w:bidi="ar-SA"/>
              </w:rPr>
              <w:t>，</w:t>
            </w:r>
            <w:r>
              <w:rPr>
                <w:rFonts w:hint="eastAsia" w:ascii="仿宋_GB2312" w:hAnsi="宋体"/>
                <w:sz w:val="20"/>
                <w:szCs w:val="20"/>
                <w:highlight w:val="none"/>
                <w:lang w:val="en-US" w:eastAsia="zh-CN" w:bidi="ar-SA"/>
              </w:rPr>
              <w:t>不一致</w:t>
            </w:r>
            <w:r>
              <w:rPr>
                <w:rFonts w:hint="eastAsia" w:ascii="仿宋_GB2312" w:hAnsi="宋体"/>
                <w:sz w:val="20"/>
                <w:szCs w:val="20"/>
                <w:highlight w:val="none"/>
                <w:lang w:val="en-US" w:bidi="ar-SA"/>
              </w:rPr>
              <w:t>不得分</w:t>
            </w:r>
          </w:p>
        </w:tc>
      </w:tr>
      <w:tr>
        <w:tblPrEx>
          <w:tblCellMar>
            <w:top w:w="0" w:type="dxa"/>
            <w:left w:w="108" w:type="dxa"/>
            <w:bottom w:w="0" w:type="dxa"/>
            <w:right w:w="108" w:type="dxa"/>
          </w:tblCellMar>
        </w:tblPrEx>
        <w:trPr>
          <w:trHeight w:val="540" w:hRule="atLeast"/>
        </w:trPr>
        <w:tc>
          <w:tcPr>
            <w:tcW w:w="1172" w:type="dxa"/>
            <w:vMerge w:val="continue"/>
            <w:tcBorders>
              <w:left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印刷宣传单数量</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3</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考察全年</w:t>
            </w:r>
            <w:r>
              <w:rPr>
                <w:rFonts w:hint="eastAsia" w:ascii="仿宋_GB2312" w:hAnsi="宋体"/>
                <w:sz w:val="20"/>
                <w:szCs w:val="20"/>
                <w:highlight w:val="none"/>
                <w:lang w:val="en-US" w:eastAsia="zh-CN" w:bidi="ar-SA"/>
              </w:rPr>
              <w:t>印刷宣传单、宣传册的数量</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eastAsia="zh-CN" w:bidi="ar-SA"/>
              </w:rPr>
              <w:t>按照工作计划印刷</w:t>
            </w:r>
            <w:r>
              <w:rPr>
                <w:rFonts w:hint="eastAsia" w:ascii="仿宋_GB2312" w:hAnsi="宋体"/>
                <w:sz w:val="20"/>
                <w:szCs w:val="20"/>
                <w:highlight w:val="none"/>
                <w:lang w:val="en-US" w:bidi="ar-SA"/>
              </w:rPr>
              <w:t>，未达到不得分</w:t>
            </w:r>
          </w:p>
        </w:tc>
      </w:tr>
      <w:tr>
        <w:tblPrEx>
          <w:tblCellMar>
            <w:top w:w="0" w:type="dxa"/>
            <w:left w:w="108" w:type="dxa"/>
            <w:bottom w:w="0" w:type="dxa"/>
            <w:right w:w="108" w:type="dxa"/>
          </w:tblCellMar>
        </w:tblPrEx>
        <w:trPr>
          <w:trHeight w:val="533" w:hRule="atLeast"/>
        </w:trPr>
        <w:tc>
          <w:tcPr>
            <w:tcW w:w="1172" w:type="dxa"/>
            <w:vMerge w:val="continue"/>
            <w:tcBorders>
              <w:left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电梯维护</w:t>
            </w:r>
            <w:r>
              <w:rPr>
                <w:rFonts w:hint="eastAsia" w:ascii="仿宋_GB2312" w:hAnsi="宋体"/>
                <w:sz w:val="20"/>
                <w:szCs w:val="20"/>
                <w:highlight w:val="none"/>
                <w:lang w:val="en-US" w:bidi="ar-SA"/>
              </w:rPr>
              <w:t>频率</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3</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考察</w:t>
            </w:r>
            <w:r>
              <w:rPr>
                <w:rFonts w:hint="eastAsia" w:ascii="仿宋_GB2312" w:hAnsi="宋体"/>
                <w:sz w:val="20"/>
                <w:szCs w:val="20"/>
                <w:highlight w:val="none"/>
                <w:lang w:val="en-US" w:eastAsia="zh-CN" w:bidi="ar-SA"/>
              </w:rPr>
              <w:t>全年电梯维修、维护</w:t>
            </w:r>
            <w:r>
              <w:rPr>
                <w:rFonts w:hint="eastAsia" w:ascii="仿宋_GB2312" w:hAnsi="宋体"/>
                <w:sz w:val="20"/>
                <w:szCs w:val="20"/>
                <w:highlight w:val="none"/>
                <w:lang w:val="en-US" w:bidi="ar-SA"/>
              </w:rPr>
              <w:t>的次数</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达到预期目标满分，未达到不得分</w:t>
            </w:r>
          </w:p>
        </w:tc>
      </w:tr>
      <w:tr>
        <w:tblPrEx>
          <w:tblCellMar>
            <w:top w:w="0" w:type="dxa"/>
            <w:left w:w="108" w:type="dxa"/>
            <w:bottom w:w="0" w:type="dxa"/>
            <w:right w:w="108" w:type="dxa"/>
          </w:tblCellMar>
        </w:tblPrEx>
        <w:trPr>
          <w:trHeight w:val="540" w:hRule="atLeast"/>
        </w:trPr>
        <w:tc>
          <w:tcPr>
            <w:tcW w:w="1172" w:type="dxa"/>
            <w:vMerge w:val="continue"/>
            <w:tcBorders>
              <w:left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产出质量</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9</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购买工服</w:t>
            </w:r>
            <w:r>
              <w:rPr>
                <w:rFonts w:hint="eastAsia" w:ascii="仿宋_GB2312" w:hAnsi="宋体"/>
                <w:sz w:val="20"/>
                <w:szCs w:val="20"/>
                <w:highlight w:val="none"/>
                <w:lang w:val="en-US" w:bidi="ar-SA"/>
              </w:rPr>
              <w:t>合格率</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3</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考察</w:t>
            </w:r>
            <w:r>
              <w:rPr>
                <w:rFonts w:hint="eastAsia" w:ascii="仿宋_GB2312" w:hAnsi="宋体"/>
                <w:sz w:val="20"/>
                <w:szCs w:val="20"/>
                <w:highlight w:val="none"/>
                <w:lang w:val="en-US" w:eastAsia="zh-CN" w:bidi="ar-SA"/>
              </w:rPr>
              <w:t>购买的工服</w:t>
            </w:r>
            <w:r>
              <w:rPr>
                <w:rFonts w:hint="eastAsia" w:ascii="仿宋_GB2312" w:hAnsi="宋体"/>
                <w:sz w:val="20"/>
                <w:szCs w:val="20"/>
                <w:highlight w:val="none"/>
                <w:lang w:val="en-US" w:bidi="ar-SA"/>
              </w:rPr>
              <w:t>质量</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工服质量符合合同标准，符合得满分，否则不得分</w:t>
            </w:r>
          </w:p>
        </w:tc>
      </w:tr>
      <w:tr>
        <w:tblPrEx>
          <w:tblCellMar>
            <w:top w:w="0" w:type="dxa"/>
            <w:left w:w="108" w:type="dxa"/>
            <w:bottom w:w="0" w:type="dxa"/>
            <w:right w:w="108" w:type="dxa"/>
          </w:tblCellMar>
        </w:tblPrEx>
        <w:trPr>
          <w:trHeight w:val="540" w:hRule="atLeast"/>
        </w:trPr>
        <w:tc>
          <w:tcPr>
            <w:tcW w:w="1172" w:type="dxa"/>
            <w:vMerge w:val="continue"/>
            <w:tcBorders>
              <w:left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经费支出准确率</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3</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考察</w:t>
            </w:r>
            <w:r>
              <w:rPr>
                <w:rFonts w:hint="eastAsia" w:ascii="仿宋_GB2312" w:hAnsi="宋体"/>
                <w:sz w:val="20"/>
                <w:szCs w:val="20"/>
                <w:highlight w:val="none"/>
                <w:lang w:val="en-US" w:eastAsia="zh-CN" w:bidi="ar-SA"/>
              </w:rPr>
              <w:t>各项运行经费支出的准确</w:t>
            </w:r>
            <w:r>
              <w:rPr>
                <w:rFonts w:hint="eastAsia" w:ascii="仿宋_GB2312" w:hAnsi="宋体"/>
                <w:sz w:val="20"/>
                <w:szCs w:val="20"/>
                <w:highlight w:val="none"/>
                <w:lang w:val="en-US" w:bidi="ar-SA"/>
              </w:rPr>
              <w:t>性</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经费支出按照制度文件标准支出，符合得满分，否则不得分</w:t>
            </w:r>
          </w:p>
        </w:tc>
      </w:tr>
      <w:tr>
        <w:tblPrEx>
          <w:tblCellMar>
            <w:top w:w="0" w:type="dxa"/>
            <w:left w:w="108" w:type="dxa"/>
            <w:bottom w:w="0" w:type="dxa"/>
            <w:right w:w="108" w:type="dxa"/>
          </w:tblCellMar>
        </w:tblPrEx>
        <w:trPr>
          <w:trHeight w:val="824" w:hRule="atLeast"/>
        </w:trPr>
        <w:tc>
          <w:tcPr>
            <w:tcW w:w="1172" w:type="dxa"/>
            <w:vMerge w:val="continue"/>
            <w:tcBorders>
              <w:left w:val="single" w:color="auto" w:sz="4" w:space="0"/>
              <w:bottom w:val="nil"/>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电梯故障率</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3</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反映</w:t>
            </w:r>
            <w:r>
              <w:rPr>
                <w:rFonts w:hint="eastAsia" w:ascii="仿宋_GB2312" w:hAnsi="宋体"/>
                <w:sz w:val="20"/>
                <w:szCs w:val="20"/>
                <w:highlight w:val="none"/>
                <w:lang w:val="en-US" w:eastAsia="zh-CN" w:bidi="ar-SA"/>
              </w:rPr>
              <w:t>电梯维护</w:t>
            </w:r>
            <w:r>
              <w:rPr>
                <w:rFonts w:hint="eastAsia" w:ascii="仿宋_GB2312" w:hAnsi="宋体"/>
                <w:sz w:val="20"/>
                <w:szCs w:val="20"/>
                <w:highlight w:val="none"/>
                <w:lang w:val="en-US" w:bidi="ar-SA"/>
              </w:rPr>
              <w:t>后</w:t>
            </w:r>
            <w:r>
              <w:rPr>
                <w:rFonts w:hint="eastAsia" w:ascii="仿宋_GB2312" w:hAnsi="宋体"/>
                <w:sz w:val="20"/>
                <w:szCs w:val="20"/>
                <w:highlight w:val="none"/>
                <w:lang w:val="en-US" w:eastAsia="zh-CN" w:bidi="ar-SA"/>
              </w:rPr>
              <w:t>出现故障</w:t>
            </w:r>
            <w:r>
              <w:rPr>
                <w:rFonts w:hint="eastAsia" w:ascii="仿宋_GB2312" w:hAnsi="宋体"/>
                <w:sz w:val="20"/>
                <w:szCs w:val="20"/>
                <w:highlight w:val="none"/>
                <w:lang w:val="en-US" w:bidi="ar-SA"/>
              </w:rPr>
              <w:t>情况</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eastAsia="zh-CN" w:bidi="ar-SA"/>
              </w:rPr>
              <w:t>电梯</w:t>
            </w:r>
            <w:r>
              <w:rPr>
                <w:rFonts w:hint="eastAsia" w:ascii="仿宋_GB2312" w:hAnsi="宋体"/>
                <w:sz w:val="20"/>
                <w:szCs w:val="20"/>
                <w:highlight w:val="none"/>
                <w:lang w:val="en-US" w:bidi="ar-SA"/>
              </w:rPr>
              <w:t>维修维护后恢复正常得满分；若无维修记录扣1分</w:t>
            </w:r>
          </w:p>
        </w:tc>
      </w:tr>
      <w:tr>
        <w:tblPrEx>
          <w:tblCellMar>
            <w:top w:w="0" w:type="dxa"/>
            <w:left w:w="108" w:type="dxa"/>
            <w:bottom w:w="0" w:type="dxa"/>
            <w:right w:w="108" w:type="dxa"/>
          </w:tblCellMar>
        </w:tblPrEx>
        <w:trPr>
          <w:trHeight w:val="533" w:hRule="atLeast"/>
        </w:trPr>
        <w:tc>
          <w:tcPr>
            <w:tcW w:w="1172" w:type="dxa"/>
            <w:vMerge w:val="restart"/>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restart"/>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产出时效</w:t>
            </w:r>
          </w:p>
        </w:tc>
        <w:tc>
          <w:tcPr>
            <w:tcW w:w="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4</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维修维护及时率</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2</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反映对</w:t>
            </w:r>
            <w:r>
              <w:rPr>
                <w:rFonts w:hint="eastAsia" w:ascii="仿宋_GB2312" w:hAnsi="宋体"/>
                <w:sz w:val="20"/>
                <w:szCs w:val="20"/>
                <w:highlight w:val="none"/>
                <w:lang w:val="en-US" w:eastAsia="zh-CN" w:bidi="ar-SA"/>
              </w:rPr>
              <w:t>电梯</w:t>
            </w:r>
            <w:r>
              <w:rPr>
                <w:rFonts w:hint="eastAsia" w:ascii="仿宋_GB2312" w:hAnsi="宋体"/>
                <w:sz w:val="20"/>
                <w:szCs w:val="20"/>
                <w:highlight w:val="none"/>
                <w:lang w:val="en-US" w:bidi="ar-SA"/>
              </w:rPr>
              <w:t>设施维修维护的及时性</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维护维修</w:t>
            </w:r>
            <w:r>
              <w:rPr>
                <w:rFonts w:hint="eastAsia" w:ascii="仿宋_GB2312" w:hAnsi="宋体"/>
                <w:sz w:val="20"/>
                <w:szCs w:val="20"/>
                <w:highlight w:val="none"/>
                <w:lang w:val="en-US" w:eastAsia="zh-CN" w:bidi="ar-SA"/>
              </w:rPr>
              <w:t>电梯</w:t>
            </w:r>
            <w:r>
              <w:rPr>
                <w:rFonts w:hint="eastAsia" w:ascii="仿宋_GB2312" w:hAnsi="宋体"/>
                <w:sz w:val="20"/>
                <w:szCs w:val="20"/>
                <w:highlight w:val="none"/>
                <w:lang w:val="en-US" w:bidi="ar-SA"/>
              </w:rPr>
              <w:t>设施响应时间</w:t>
            </w:r>
          </w:p>
        </w:tc>
      </w:tr>
      <w:tr>
        <w:tblPrEx>
          <w:tblCellMar>
            <w:top w:w="0" w:type="dxa"/>
            <w:left w:w="108" w:type="dxa"/>
            <w:bottom w:w="0" w:type="dxa"/>
            <w:right w:w="108" w:type="dxa"/>
          </w:tblCellMar>
        </w:tblPrEx>
        <w:trPr>
          <w:trHeight w:val="858" w:hRule="atLeast"/>
        </w:trPr>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资金支付</w:t>
            </w:r>
            <w:r>
              <w:rPr>
                <w:rFonts w:hint="eastAsia" w:ascii="仿宋_GB2312" w:hAnsi="宋体"/>
                <w:sz w:val="20"/>
                <w:szCs w:val="20"/>
                <w:highlight w:val="none"/>
                <w:lang w:val="en-US" w:bidi="ar-SA"/>
              </w:rPr>
              <w:t>及时率</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2</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反映</w:t>
            </w:r>
            <w:r>
              <w:rPr>
                <w:rFonts w:hint="eastAsia" w:ascii="仿宋_GB2312" w:hAnsi="宋体"/>
                <w:sz w:val="20"/>
                <w:szCs w:val="20"/>
                <w:highlight w:val="none"/>
                <w:lang w:val="en-US" w:eastAsia="zh-CN" w:bidi="ar-SA"/>
              </w:rPr>
              <w:t>是否按时间进度要求支付使用资金</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是否按进度要求支付的资金，符合得满分，否则不得分</w:t>
            </w:r>
          </w:p>
        </w:tc>
      </w:tr>
      <w:tr>
        <w:tblPrEx>
          <w:tblCellMar>
            <w:top w:w="0" w:type="dxa"/>
            <w:left w:w="108" w:type="dxa"/>
            <w:bottom w:w="0" w:type="dxa"/>
            <w:right w:w="108" w:type="dxa"/>
          </w:tblCellMar>
        </w:tblPrEx>
        <w:trPr>
          <w:trHeight w:val="608" w:hRule="atLeast"/>
        </w:trPr>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产出成本</w:t>
            </w:r>
          </w:p>
        </w:tc>
        <w:tc>
          <w:tcPr>
            <w:tcW w:w="705" w:type="dxa"/>
            <w:tcBorders>
              <w:top w:val="nil"/>
              <w:left w:val="single" w:color="auto" w:sz="4" w:space="0"/>
              <w:bottom w:val="single" w:color="000000"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2</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eastAsia="zh-CN" w:bidi="ar-SA"/>
              </w:rPr>
              <w:t>各项经费成本</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2</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eastAsia="zh-CN" w:bidi="ar-SA"/>
              </w:rPr>
              <w:t>反映在项目充分发挥资金使用效益前提下，各项经费控制的合理性，即反映预算执行结果是节约还是超支等具体情况</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default" w:ascii="仿宋_GB2312" w:hAnsi="宋体"/>
                <w:sz w:val="20"/>
                <w:szCs w:val="20"/>
                <w:highlight w:val="none"/>
                <w:lang w:val="en-US" w:bidi="ar-SA"/>
              </w:rPr>
            </w:pPr>
            <w:r>
              <w:rPr>
                <w:rFonts w:hint="eastAsia" w:ascii="仿宋_GB2312" w:hAnsi="宋体"/>
                <w:sz w:val="20"/>
                <w:szCs w:val="20"/>
                <w:highlight w:val="none"/>
                <w:lang w:val="en-US" w:eastAsia="zh-CN" w:bidi="ar-SA"/>
              </w:rPr>
              <w:t>经费成本≤40万元</w:t>
            </w:r>
          </w:p>
        </w:tc>
      </w:tr>
      <w:tr>
        <w:tblPrEx>
          <w:tblCellMar>
            <w:top w:w="0" w:type="dxa"/>
            <w:left w:w="108" w:type="dxa"/>
            <w:bottom w:w="0" w:type="dxa"/>
            <w:right w:w="108" w:type="dxa"/>
          </w:tblCellMar>
        </w:tblPrEx>
        <w:trPr>
          <w:trHeight w:val="533" w:hRule="atLeast"/>
        </w:trPr>
        <w:tc>
          <w:tcPr>
            <w:tcW w:w="1172" w:type="dxa"/>
            <w:vMerge w:val="restart"/>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200" w:firstLineChars="10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效益</w:t>
            </w:r>
          </w:p>
        </w:tc>
        <w:tc>
          <w:tcPr>
            <w:tcW w:w="61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restart"/>
            <w:tcBorders>
              <w:left w:val="single" w:color="auto" w:sz="4" w:space="0"/>
              <w:right w:val="single" w:color="auto" w:sz="4" w:space="0"/>
            </w:tcBorders>
            <w:vAlign w:val="center"/>
          </w:tcPr>
          <w:p>
            <w:pPr>
              <w:widowControl/>
              <w:topLinePunct w:val="0"/>
              <w:spacing w:line="240" w:lineRule="auto"/>
              <w:ind w:firstLine="200" w:firstLineChars="10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社会效益</w:t>
            </w:r>
          </w:p>
        </w:tc>
        <w:tc>
          <w:tcPr>
            <w:tcW w:w="705" w:type="dxa"/>
            <w:vMerge w:val="restart"/>
            <w:tcBorders>
              <w:left w:val="single" w:color="auto" w:sz="4" w:space="0"/>
              <w:right w:val="single" w:color="auto" w:sz="4" w:space="0"/>
            </w:tcBorders>
            <w:vAlign w:val="center"/>
          </w:tcPr>
          <w:p>
            <w:pPr>
              <w:widowControl/>
              <w:topLinePunct w:val="0"/>
              <w:spacing w:line="240" w:lineRule="auto"/>
              <w:ind w:firstLine="200" w:firstLineChars="100"/>
              <w:jc w:val="left"/>
              <w:rPr>
                <w:rFonts w:hint="default"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10</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提高工作人员办公效率</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5</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反映工作人员办公效率提高情况</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hint="eastAsia"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工作人员办公效率是否提高</w:t>
            </w:r>
          </w:p>
        </w:tc>
      </w:tr>
      <w:tr>
        <w:tblPrEx>
          <w:tblCellMar>
            <w:top w:w="0" w:type="dxa"/>
            <w:left w:w="108" w:type="dxa"/>
            <w:bottom w:w="0" w:type="dxa"/>
            <w:right w:w="108" w:type="dxa"/>
          </w:tblCellMar>
        </w:tblPrEx>
        <w:trPr>
          <w:trHeight w:val="540" w:hRule="atLeast"/>
        </w:trPr>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vMerge w:val="continue"/>
            <w:tcBorders>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p>
        </w:tc>
        <w:tc>
          <w:tcPr>
            <w:tcW w:w="705" w:type="dxa"/>
            <w:vMerge w:val="continue"/>
            <w:tcBorders>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医保政策知晓率</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5</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传播推广医保政策，提高百姓对医保政策的认知</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eastAsia="zh-CN" w:bidi="ar-SA"/>
              </w:rPr>
              <w:t>传播推广医保政策效果是否明显</w:t>
            </w:r>
          </w:p>
        </w:tc>
      </w:tr>
      <w:tr>
        <w:tblPrEx>
          <w:tblCellMar>
            <w:top w:w="0" w:type="dxa"/>
            <w:left w:w="108" w:type="dxa"/>
            <w:bottom w:w="0" w:type="dxa"/>
            <w:right w:w="108" w:type="dxa"/>
          </w:tblCellMar>
        </w:tblPrEx>
        <w:trPr>
          <w:trHeight w:val="540" w:hRule="atLeast"/>
        </w:trPr>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tcBorders>
              <w:top w:val="nil"/>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可持续影响</w:t>
            </w:r>
          </w:p>
        </w:tc>
        <w:tc>
          <w:tcPr>
            <w:tcW w:w="705"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10</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保障医保大厅正常运转</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10</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eastAsia"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eastAsia="zh-CN" w:bidi="ar-SA"/>
              </w:rPr>
              <w:t>维护医保大厅正常办公秩序，提升服务质量</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eastAsia="zh-CN" w:bidi="ar-SA"/>
              </w:rPr>
              <w:t>医保大厅的长期保障和日常运行</w:t>
            </w:r>
          </w:p>
        </w:tc>
      </w:tr>
      <w:tr>
        <w:tblPrEx>
          <w:tblCellMar>
            <w:top w:w="0" w:type="dxa"/>
            <w:left w:w="108" w:type="dxa"/>
            <w:bottom w:w="0" w:type="dxa"/>
            <w:right w:w="108" w:type="dxa"/>
          </w:tblCellMar>
        </w:tblPrEx>
        <w:trPr>
          <w:trHeight w:val="560" w:hRule="atLeast"/>
        </w:trPr>
        <w:tc>
          <w:tcPr>
            <w:tcW w:w="1172" w:type="dxa"/>
            <w:vMerge w:val="continue"/>
            <w:tcBorders>
              <w:top w:val="single" w:color="auto" w:sz="4" w:space="0"/>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612" w:type="dxa"/>
            <w:vMerge w:val="continue"/>
            <w:tcBorders>
              <w:top w:val="nil"/>
              <w:left w:val="single" w:color="auto" w:sz="4" w:space="0"/>
              <w:bottom w:val="single" w:color="auto" w:sz="4" w:space="0"/>
              <w:right w:val="single" w:color="auto" w:sz="4" w:space="0"/>
            </w:tcBorders>
            <w:vAlign w:val="center"/>
          </w:tcPr>
          <w:p>
            <w:pPr>
              <w:widowControl/>
              <w:topLinePunct w:val="0"/>
              <w:spacing w:line="240" w:lineRule="auto"/>
              <w:ind w:firstLine="0" w:firstLineChars="0"/>
              <w:jc w:val="left"/>
              <w:rPr>
                <w:rFonts w:ascii="仿宋_GB2312" w:hAnsi="宋体"/>
                <w:sz w:val="20"/>
                <w:szCs w:val="20"/>
                <w:highlight w:val="none"/>
                <w:lang w:val="en-US" w:bidi="ar-SA"/>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满意度指标</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sz w:val="20"/>
                <w:szCs w:val="20"/>
                <w:highlight w:val="none"/>
                <w:lang w:val="en-US" w:bidi="ar-SA"/>
              </w:rPr>
            </w:pPr>
            <w:r>
              <w:rPr>
                <w:rFonts w:hint="eastAsia" w:ascii="仿宋_GB2312" w:hAnsi="宋体"/>
                <w:sz w:val="20"/>
                <w:szCs w:val="20"/>
                <w:highlight w:val="none"/>
                <w:lang w:val="en-US" w:bidi="ar-SA"/>
              </w:rPr>
              <w:t>10</w:t>
            </w:r>
          </w:p>
        </w:tc>
        <w:tc>
          <w:tcPr>
            <w:tcW w:w="2218"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居民满意度</w:t>
            </w:r>
          </w:p>
        </w:tc>
        <w:tc>
          <w:tcPr>
            <w:tcW w:w="612"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hint="default" w:ascii="仿宋_GB2312" w:hAnsi="宋体" w:eastAsia="仿宋_GB2312"/>
                <w:sz w:val="20"/>
                <w:szCs w:val="20"/>
                <w:highlight w:val="none"/>
                <w:lang w:val="en-US" w:eastAsia="zh-CN" w:bidi="ar-SA"/>
              </w:rPr>
            </w:pPr>
            <w:r>
              <w:rPr>
                <w:rFonts w:hint="eastAsia" w:ascii="仿宋_GB2312" w:hAnsi="宋体"/>
                <w:sz w:val="20"/>
                <w:szCs w:val="20"/>
                <w:highlight w:val="none"/>
                <w:lang w:val="en-US" w:eastAsia="zh-CN" w:bidi="ar-SA"/>
              </w:rPr>
              <w:t>10</w:t>
            </w:r>
          </w:p>
        </w:tc>
        <w:tc>
          <w:tcPr>
            <w:tcW w:w="3029"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center"/>
              <w:rPr>
                <w:rFonts w:ascii="仿宋_GB2312" w:hAnsi="宋体" w:eastAsia="仿宋_GB2312" w:cs="宋体"/>
                <w:sz w:val="20"/>
                <w:szCs w:val="20"/>
                <w:highlight w:val="none"/>
                <w:lang w:val="en-US" w:eastAsia="zh-CN" w:bidi="ar-SA"/>
              </w:rPr>
            </w:pPr>
            <w:r>
              <w:rPr>
                <w:rFonts w:hint="eastAsia" w:ascii="仿宋_GB2312" w:hAnsi="宋体"/>
                <w:sz w:val="20"/>
                <w:szCs w:val="20"/>
                <w:highlight w:val="none"/>
                <w:lang w:val="en-US" w:bidi="ar-SA"/>
              </w:rPr>
              <w:t>反映</w:t>
            </w:r>
            <w:r>
              <w:rPr>
                <w:rFonts w:hint="eastAsia" w:ascii="仿宋_GB2312" w:hAnsi="宋体"/>
                <w:sz w:val="20"/>
                <w:szCs w:val="20"/>
                <w:highlight w:val="none"/>
                <w:lang w:val="en-US" w:eastAsia="zh-CN" w:bidi="ar-SA"/>
              </w:rPr>
              <w:t>城镇</w:t>
            </w:r>
            <w:r>
              <w:rPr>
                <w:rFonts w:hint="eastAsia" w:ascii="仿宋_GB2312" w:hAnsi="宋体"/>
                <w:sz w:val="20"/>
                <w:szCs w:val="20"/>
                <w:highlight w:val="none"/>
                <w:lang w:val="en-US" w:bidi="ar-SA"/>
              </w:rPr>
              <w:t>居民满意程度</w:t>
            </w:r>
          </w:p>
        </w:tc>
        <w:tc>
          <w:tcPr>
            <w:tcW w:w="4193" w:type="dxa"/>
            <w:tcBorders>
              <w:top w:val="nil"/>
              <w:left w:val="nil"/>
              <w:bottom w:val="single" w:color="auto" w:sz="4" w:space="0"/>
              <w:right w:val="single" w:color="auto" w:sz="4" w:space="0"/>
            </w:tcBorders>
            <w:shd w:val="clear" w:color="auto" w:fill="auto"/>
            <w:vAlign w:val="center"/>
          </w:tcPr>
          <w:p>
            <w:pPr>
              <w:widowControl/>
              <w:topLinePunct w:val="0"/>
              <w:spacing w:line="240" w:lineRule="auto"/>
              <w:ind w:firstLine="0" w:firstLineChars="0"/>
              <w:jc w:val="left"/>
              <w:rPr>
                <w:rFonts w:ascii="仿宋_GB2312" w:hAnsi="宋体"/>
                <w:sz w:val="20"/>
                <w:szCs w:val="20"/>
                <w:highlight w:val="none"/>
                <w:lang w:val="en-US" w:bidi="ar-SA"/>
              </w:rPr>
            </w:pPr>
            <w:r>
              <w:rPr>
                <w:rFonts w:hint="eastAsia" w:ascii="仿宋_GB2312" w:hAnsi="宋体"/>
                <w:sz w:val="20"/>
                <w:szCs w:val="20"/>
                <w:highlight w:val="none"/>
                <w:lang w:val="en-US" w:bidi="ar-SA"/>
              </w:rPr>
              <w:t>满意率≥98%得10分；满意度每下降1%，扣除权重的1%。</w:t>
            </w:r>
          </w:p>
        </w:tc>
      </w:tr>
      <w:bookmarkEnd w:id="33"/>
    </w:tbl>
    <w:p>
      <w:pPr>
        <w:tabs>
          <w:tab w:val="left" w:pos="3895"/>
        </w:tabs>
        <w:bidi w:val="0"/>
        <w:ind w:left="0" w:leftChars="0" w:firstLine="0" w:firstLineChars="0"/>
        <w:jc w:val="left"/>
        <w:rPr>
          <w:lang w:val="zh-CN" w:eastAsia="zh-CN"/>
        </w:rPr>
      </w:pPr>
    </w:p>
    <w:sectPr>
      <w:pgSz w:w="16840" w:h="11910" w:orient="landscape"/>
      <w:pgMar w:top="1803" w:right="1440" w:bottom="1803" w:left="1440" w:header="851" w:footer="1111"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2"/>
        <w:tab w:val="clear" w:pos="4153"/>
      </w:tabs>
      <w:ind w:firstLine="420"/>
      <w:rPr>
        <w:rFonts w:eastAsia="黑体"/>
      </w:rPr>
    </w:pPr>
    <w:r>
      <w:rPr>
        <w:rFonts w:hint="eastAsia" w:ascii="黑体" w:hAnsi="黑体" w:eastAsia="黑体" w:cs="黑体"/>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2"/>
        <w:tab w:val="clear" w:pos="4153"/>
      </w:tabs>
      <w:ind w:firstLine="420"/>
      <w:rPr>
        <w:rFonts w:eastAsia="黑体"/>
      </w:rPr>
    </w:pPr>
    <w:r>
      <w:rPr>
        <w:sz w:val="21"/>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II</w:t>
                </w:r>
                <w:r>
                  <w:fldChar w:fldCharType="end"/>
                </w:r>
              </w:p>
            </w:txbxContent>
          </v:textbox>
        </v:shape>
      </w:pict>
    </w:r>
    <w:r>
      <w:rPr>
        <w:rFonts w:hint="eastAsia" w:ascii="黑体" w:hAnsi="黑体" w:eastAsia="黑体" w:cs="黑体"/>
        <w:sz w:val="21"/>
        <w:szCs w:val="2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2"/>
        <w:tab w:val="clear" w:pos="4153"/>
      </w:tabs>
      <w:ind w:firstLine="420"/>
      <w:rPr>
        <w:rFonts w:eastAsia="黑体"/>
      </w:rPr>
    </w:pPr>
    <w:r>
      <w:rPr>
        <w:sz w:val="21"/>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4</w:t>
                </w:r>
                <w:r>
                  <w:fldChar w:fldCharType="end"/>
                </w:r>
              </w:p>
            </w:txbxContent>
          </v:textbox>
        </v:shape>
      </w:pict>
    </w:r>
    <w:r>
      <w:rPr>
        <w:rFonts w:hint="eastAsia" w:ascii="黑体" w:hAnsi="黑体" w:eastAsia="黑体" w:cs="黑体"/>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right"/>
      <w:rPr>
        <w:rFonts w:ascii="黑体" w:hAnsi="黑体" w:eastAsia="黑体" w:cs="黑体"/>
      </w:rPr>
    </w:pPr>
    <w:r>
      <w:rPr>
        <w:rFonts w:hint="eastAsia" w:ascii="黑体" w:hAnsi="黑体" w:eastAsia="黑体" w:cs="黑体"/>
        <w:sz w:val="21"/>
        <w:szCs w:val="21"/>
        <w:lang w:eastAsia="zh-CN"/>
      </w:rPr>
      <w:t>局机关及医保经办服务大厅运行项目经费</w:t>
    </w:r>
    <w:r>
      <w:rPr>
        <w:rFonts w:hint="eastAsia" w:ascii="黑体" w:hAnsi="黑体" w:eastAsia="黑体" w:cs="黑体"/>
        <w:sz w:val="21"/>
        <w:szCs w:val="21"/>
      </w:rPr>
      <w:t>绩效评价报告</w:t>
    </w:r>
  </w:p>
  <w:p>
    <w:pPr>
      <w:pStyle w:val="8"/>
      <w:spacing w:line="14" w:lineRule="auto"/>
      <w:ind w:left="0"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D4CDA"/>
    <w:multiLevelType w:val="singleLevel"/>
    <w:tmpl w:val="DC8D4CDA"/>
    <w:lvl w:ilvl="0" w:tentative="0">
      <w:start w:val="3"/>
      <w:numFmt w:val="chineseCounting"/>
      <w:suff w:val="nothing"/>
      <w:lvlText w:val="（%1）"/>
      <w:lvlJc w:val="left"/>
      <w:rPr>
        <w:rFonts w:hint="eastAsia"/>
      </w:rPr>
    </w:lvl>
  </w:abstractNum>
  <w:abstractNum w:abstractNumId="1">
    <w:nsid w:val="02A75303"/>
    <w:multiLevelType w:val="singleLevel"/>
    <w:tmpl w:val="02A7530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c5MzAyNmIwM2U5YjM2MTdkZDVlNTUyNjU1ZjlkNzcifQ=="/>
  </w:docVars>
  <w:rsids>
    <w:rsidRoot w:val="001B14AF"/>
    <w:rsid w:val="00000CA8"/>
    <w:rsid w:val="0000785C"/>
    <w:rsid w:val="00010E79"/>
    <w:rsid w:val="00013C10"/>
    <w:rsid w:val="00042D40"/>
    <w:rsid w:val="00046D2D"/>
    <w:rsid w:val="000509D6"/>
    <w:rsid w:val="00054A8C"/>
    <w:rsid w:val="00055EFB"/>
    <w:rsid w:val="00064832"/>
    <w:rsid w:val="00077936"/>
    <w:rsid w:val="0008204E"/>
    <w:rsid w:val="00092A22"/>
    <w:rsid w:val="00097EE4"/>
    <w:rsid w:val="000A58C8"/>
    <w:rsid w:val="000A5966"/>
    <w:rsid w:val="000B3ACD"/>
    <w:rsid w:val="000B4E9E"/>
    <w:rsid w:val="000C5731"/>
    <w:rsid w:val="000D589E"/>
    <w:rsid w:val="000F0F3E"/>
    <w:rsid w:val="00106E62"/>
    <w:rsid w:val="00115D12"/>
    <w:rsid w:val="0012003E"/>
    <w:rsid w:val="00121EA8"/>
    <w:rsid w:val="00126B57"/>
    <w:rsid w:val="00130C4E"/>
    <w:rsid w:val="0014721F"/>
    <w:rsid w:val="001552FA"/>
    <w:rsid w:val="00156F9D"/>
    <w:rsid w:val="00187479"/>
    <w:rsid w:val="001B14AF"/>
    <w:rsid w:val="001B686B"/>
    <w:rsid w:val="001D7157"/>
    <w:rsid w:val="001E4B4B"/>
    <w:rsid w:val="001E7447"/>
    <w:rsid w:val="001E76B6"/>
    <w:rsid w:val="001F30B4"/>
    <w:rsid w:val="00210586"/>
    <w:rsid w:val="0022202F"/>
    <w:rsid w:val="002303F8"/>
    <w:rsid w:val="002401F0"/>
    <w:rsid w:val="0024386C"/>
    <w:rsid w:val="002601BC"/>
    <w:rsid w:val="00283504"/>
    <w:rsid w:val="002A6729"/>
    <w:rsid w:val="002B5F10"/>
    <w:rsid w:val="002C0345"/>
    <w:rsid w:val="002C15F8"/>
    <w:rsid w:val="002D1958"/>
    <w:rsid w:val="002E4ACE"/>
    <w:rsid w:val="002E5571"/>
    <w:rsid w:val="002E5736"/>
    <w:rsid w:val="002F386F"/>
    <w:rsid w:val="002F778C"/>
    <w:rsid w:val="002F7CC3"/>
    <w:rsid w:val="00302316"/>
    <w:rsid w:val="00312A32"/>
    <w:rsid w:val="00316050"/>
    <w:rsid w:val="0031640E"/>
    <w:rsid w:val="00320965"/>
    <w:rsid w:val="0032189D"/>
    <w:rsid w:val="00325C09"/>
    <w:rsid w:val="00335186"/>
    <w:rsid w:val="00337475"/>
    <w:rsid w:val="003538E5"/>
    <w:rsid w:val="00365DB5"/>
    <w:rsid w:val="003B08FC"/>
    <w:rsid w:val="003D2813"/>
    <w:rsid w:val="003D7A13"/>
    <w:rsid w:val="003E2111"/>
    <w:rsid w:val="003E3F9C"/>
    <w:rsid w:val="003F3EBD"/>
    <w:rsid w:val="003F5CA6"/>
    <w:rsid w:val="00415624"/>
    <w:rsid w:val="00427425"/>
    <w:rsid w:val="0043176B"/>
    <w:rsid w:val="00440CEA"/>
    <w:rsid w:val="00444144"/>
    <w:rsid w:val="004517DA"/>
    <w:rsid w:val="0045365B"/>
    <w:rsid w:val="00457CB6"/>
    <w:rsid w:val="00465722"/>
    <w:rsid w:val="0047062F"/>
    <w:rsid w:val="004759A2"/>
    <w:rsid w:val="0048582D"/>
    <w:rsid w:val="00487961"/>
    <w:rsid w:val="00492864"/>
    <w:rsid w:val="00492A36"/>
    <w:rsid w:val="004A4F6E"/>
    <w:rsid w:val="004D1AB4"/>
    <w:rsid w:val="004D23CB"/>
    <w:rsid w:val="004D37A6"/>
    <w:rsid w:val="004E77DE"/>
    <w:rsid w:val="004E7AB4"/>
    <w:rsid w:val="004F108B"/>
    <w:rsid w:val="004F2B7E"/>
    <w:rsid w:val="004F7FC4"/>
    <w:rsid w:val="0050083C"/>
    <w:rsid w:val="00512148"/>
    <w:rsid w:val="00580A99"/>
    <w:rsid w:val="005829F8"/>
    <w:rsid w:val="005854E9"/>
    <w:rsid w:val="0058711F"/>
    <w:rsid w:val="005A01A9"/>
    <w:rsid w:val="005A40D6"/>
    <w:rsid w:val="005A53FC"/>
    <w:rsid w:val="005A63E3"/>
    <w:rsid w:val="005B1EB2"/>
    <w:rsid w:val="005E2171"/>
    <w:rsid w:val="005E7DD3"/>
    <w:rsid w:val="00605D8E"/>
    <w:rsid w:val="00612A6D"/>
    <w:rsid w:val="00615DE5"/>
    <w:rsid w:val="00632E48"/>
    <w:rsid w:val="00651C7C"/>
    <w:rsid w:val="006522A1"/>
    <w:rsid w:val="00667899"/>
    <w:rsid w:val="00673C43"/>
    <w:rsid w:val="0067472E"/>
    <w:rsid w:val="0069374F"/>
    <w:rsid w:val="006A0357"/>
    <w:rsid w:val="006A3FE9"/>
    <w:rsid w:val="006A787C"/>
    <w:rsid w:val="006D6E00"/>
    <w:rsid w:val="006E6246"/>
    <w:rsid w:val="006F19B1"/>
    <w:rsid w:val="007019AA"/>
    <w:rsid w:val="00711F6D"/>
    <w:rsid w:val="00712292"/>
    <w:rsid w:val="00713A7A"/>
    <w:rsid w:val="007147DE"/>
    <w:rsid w:val="00750B8D"/>
    <w:rsid w:val="0075730C"/>
    <w:rsid w:val="007656B5"/>
    <w:rsid w:val="007761DE"/>
    <w:rsid w:val="0078737D"/>
    <w:rsid w:val="00787BFF"/>
    <w:rsid w:val="00793540"/>
    <w:rsid w:val="007952F5"/>
    <w:rsid w:val="007A1147"/>
    <w:rsid w:val="007A3934"/>
    <w:rsid w:val="007A75F7"/>
    <w:rsid w:val="007C466D"/>
    <w:rsid w:val="007D11A8"/>
    <w:rsid w:val="007E3CC9"/>
    <w:rsid w:val="007E3E98"/>
    <w:rsid w:val="00801314"/>
    <w:rsid w:val="00801AE3"/>
    <w:rsid w:val="0080420D"/>
    <w:rsid w:val="00812E5D"/>
    <w:rsid w:val="00817968"/>
    <w:rsid w:val="0083210D"/>
    <w:rsid w:val="008353FF"/>
    <w:rsid w:val="008417F7"/>
    <w:rsid w:val="00851598"/>
    <w:rsid w:val="00857095"/>
    <w:rsid w:val="008606A9"/>
    <w:rsid w:val="008651AB"/>
    <w:rsid w:val="0087385E"/>
    <w:rsid w:val="0087445B"/>
    <w:rsid w:val="00875306"/>
    <w:rsid w:val="00890476"/>
    <w:rsid w:val="00895EA5"/>
    <w:rsid w:val="008A1D59"/>
    <w:rsid w:val="008A57F6"/>
    <w:rsid w:val="008B120E"/>
    <w:rsid w:val="008C59E3"/>
    <w:rsid w:val="008F56E6"/>
    <w:rsid w:val="0090099E"/>
    <w:rsid w:val="009157BD"/>
    <w:rsid w:val="00945D8B"/>
    <w:rsid w:val="00952915"/>
    <w:rsid w:val="00965FC4"/>
    <w:rsid w:val="009728ED"/>
    <w:rsid w:val="00972D70"/>
    <w:rsid w:val="009824F3"/>
    <w:rsid w:val="009A2195"/>
    <w:rsid w:val="009A5286"/>
    <w:rsid w:val="009A76FE"/>
    <w:rsid w:val="009B33ED"/>
    <w:rsid w:val="009B3618"/>
    <w:rsid w:val="009B5C23"/>
    <w:rsid w:val="009B6E82"/>
    <w:rsid w:val="009C04FC"/>
    <w:rsid w:val="009C40D6"/>
    <w:rsid w:val="009C6652"/>
    <w:rsid w:val="009C67F6"/>
    <w:rsid w:val="009D085F"/>
    <w:rsid w:val="009D38BF"/>
    <w:rsid w:val="009E1EE2"/>
    <w:rsid w:val="009E65E1"/>
    <w:rsid w:val="009F1496"/>
    <w:rsid w:val="009F300B"/>
    <w:rsid w:val="009F4E90"/>
    <w:rsid w:val="00A00766"/>
    <w:rsid w:val="00A07E2D"/>
    <w:rsid w:val="00A14CA7"/>
    <w:rsid w:val="00A15F8B"/>
    <w:rsid w:val="00A16E09"/>
    <w:rsid w:val="00A2560C"/>
    <w:rsid w:val="00A33575"/>
    <w:rsid w:val="00A55AF0"/>
    <w:rsid w:val="00A57206"/>
    <w:rsid w:val="00A617E7"/>
    <w:rsid w:val="00A74E90"/>
    <w:rsid w:val="00A74FD1"/>
    <w:rsid w:val="00A75EF8"/>
    <w:rsid w:val="00A80833"/>
    <w:rsid w:val="00A912B5"/>
    <w:rsid w:val="00A93D86"/>
    <w:rsid w:val="00AA0B2C"/>
    <w:rsid w:val="00AA1FA5"/>
    <w:rsid w:val="00AC12C3"/>
    <w:rsid w:val="00AC36AF"/>
    <w:rsid w:val="00AC7121"/>
    <w:rsid w:val="00AE2EB0"/>
    <w:rsid w:val="00AE7CD3"/>
    <w:rsid w:val="00AF3D68"/>
    <w:rsid w:val="00B12ABA"/>
    <w:rsid w:val="00B17E5B"/>
    <w:rsid w:val="00B23C21"/>
    <w:rsid w:val="00B240EB"/>
    <w:rsid w:val="00B31709"/>
    <w:rsid w:val="00B36873"/>
    <w:rsid w:val="00B41A9D"/>
    <w:rsid w:val="00B5120C"/>
    <w:rsid w:val="00B57AA0"/>
    <w:rsid w:val="00B6011A"/>
    <w:rsid w:val="00B63195"/>
    <w:rsid w:val="00B657D6"/>
    <w:rsid w:val="00B6779A"/>
    <w:rsid w:val="00B74C61"/>
    <w:rsid w:val="00B80B03"/>
    <w:rsid w:val="00B80EC5"/>
    <w:rsid w:val="00B85081"/>
    <w:rsid w:val="00B972A5"/>
    <w:rsid w:val="00BA1168"/>
    <w:rsid w:val="00BB2981"/>
    <w:rsid w:val="00BB4C26"/>
    <w:rsid w:val="00BB5A4C"/>
    <w:rsid w:val="00BC51FC"/>
    <w:rsid w:val="00BE5D14"/>
    <w:rsid w:val="00C176AD"/>
    <w:rsid w:val="00C17DDC"/>
    <w:rsid w:val="00C2228D"/>
    <w:rsid w:val="00C2259F"/>
    <w:rsid w:val="00C22A00"/>
    <w:rsid w:val="00C278D6"/>
    <w:rsid w:val="00C35E68"/>
    <w:rsid w:val="00C468DA"/>
    <w:rsid w:val="00C53364"/>
    <w:rsid w:val="00C56C2C"/>
    <w:rsid w:val="00C738BF"/>
    <w:rsid w:val="00C74B9B"/>
    <w:rsid w:val="00C8050A"/>
    <w:rsid w:val="00C8382C"/>
    <w:rsid w:val="00C87D0B"/>
    <w:rsid w:val="00C97506"/>
    <w:rsid w:val="00CA5BD2"/>
    <w:rsid w:val="00CB5705"/>
    <w:rsid w:val="00CC7064"/>
    <w:rsid w:val="00CD01BF"/>
    <w:rsid w:val="00CD3D12"/>
    <w:rsid w:val="00CD720D"/>
    <w:rsid w:val="00CF0565"/>
    <w:rsid w:val="00D04153"/>
    <w:rsid w:val="00D05BE8"/>
    <w:rsid w:val="00D12F89"/>
    <w:rsid w:val="00D13236"/>
    <w:rsid w:val="00D17ACC"/>
    <w:rsid w:val="00D22347"/>
    <w:rsid w:val="00D227EF"/>
    <w:rsid w:val="00D3438A"/>
    <w:rsid w:val="00D47CF2"/>
    <w:rsid w:val="00D5199C"/>
    <w:rsid w:val="00D77694"/>
    <w:rsid w:val="00D77715"/>
    <w:rsid w:val="00DC0CB4"/>
    <w:rsid w:val="00DD6A82"/>
    <w:rsid w:val="00DD7780"/>
    <w:rsid w:val="00DD7A08"/>
    <w:rsid w:val="00DE74D6"/>
    <w:rsid w:val="00DE7B2C"/>
    <w:rsid w:val="00DF32EB"/>
    <w:rsid w:val="00DF3CEA"/>
    <w:rsid w:val="00E12697"/>
    <w:rsid w:val="00E162B9"/>
    <w:rsid w:val="00E16607"/>
    <w:rsid w:val="00E217A8"/>
    <w:rsid w:val="00E22ADD"/>
    <w:rsid w:val="00E2334A"/>
    <w:rsid w:val="00E3175E"/>
    <w:rsid w:val="00E332BE"/>
    <w:rsid w:val="00E42224"/>
    <w:rsid w:val="00E46968"/>
    <w:rsid w:val="00E50EAA"/>
    <w:rsid w:val="00E5345F"/>
    <w:rsid w:val="00E57938"/>
    <w:rsid w:val="00E77A54"/>
    <w:rsid w:val="00E85C96"/>
    <w:rsid w:val="00EA16AE"/>
    <w:rsid w:val="00EB0EEB"/>
    <w:rsid w:val="00EB13A1"/>
    <w:rsid w:val="00EE19D9"/>
    <w:rsid w:val="00EE393C"/>
    <w:rsid w:val="00EF37D3"/>
    <w:rsid w:val="00EF631B"/>
    <w:rsid w:val="00F00378"/>
    <w:rsid w:val="00F04D2A"/>
    <w:rsid w:val="00F208EF"/>
    <w:rsid w:val="00F2543B"/>
    <w:rsid w:val="00F31E4E"/>
    <w:rsid w:val="00F35E51"/>
    <w:rsid w:val="00F36DB2"/>
    <w:rsid w:val="00F51972"/>
    <w:rsid w:val="00F52323"/>
    <w:rsid w:val="00F53B91"/>
    <w:rsid w:val="00F70BC6"/>
    <w:rsid w:val="00F740CC"/>
    <w:rsid w:val="00F80E7E"/>
    <w:rsid w:val="00F83DDC"/>
    <w:rsid w:val="00F83FA5"/>
    <w:rsid w:val="00F8714A"/>
    <w:rsid w:val="00F90026"/>
    <w:rsid w:val="00F91396"/>
    <w:rsid w:val="00FB0B5A"/>
    <w:rsid w:val="00FB2211"/>
    <w:rsid w:val="00FC3E20"/>
    <w:rsid w:val="00FC4F7D"/>
    <w:rsid w:val="00FC5A9D"/>
    <w:rsid w:val="00FD3D2D"/>
    <w:rsid w:val="00FD4BFE"/>
    <w:rsid w:val="00FD5DE6"/>
    <w:rsid w:val="00FE1F2B"/>
    <w:rsid w:val="00FE3FCE"/>
    <w:rsid w:val="00FE4CCE"/>
    <w:rsid w:val="00FE797C"/>
    <w:rsid w:val="00FF218A"/>
    <w:rsid w:val="00FF2969"/>
    <w:rsid w:val="00FF3EAF"/>
    <w:rsid w:val="016C5E67"/>
    <w:rsid w:val="0198077F"/>
    <w:rsid w:val="01AC7951"/>
    <w:rsid w:val="023C3110"/>
    <w:rsid w:val="02B14F89"/>
    <w:rsid w:val="02B575FE"/>
    <w:rsid w:val="031D2E95"/>
    <w:rsid w:val="03407E3F"/>
    <w:rsid w:val="039D6BF4"/>
    <w:rsid w:val="03FC108A"/>
    <w:rsid w:val="04A424A5"/>
    <w:rsid w:val="04FD7270"/>
    <w:rsid w:val="051413DA"/>
    <w:rsid w:val="053F0046"/>
    <w:rsid w:val="055E7F5A"/>
    <w:rsid w:val="05715D97"/>
    <w:rsid w:val="05991298"/>
    <w:rsid w:val="05ED4579"/>
    <w:rsid w:val="061E0FBB"/>
    <w:rsid w:val="06733827"/>
    <w:rsid w:val="068D4A71"/>
    <w:rsid w:val="06E3402E"/>
    <w:rsid w:val="07031635"/>
    <w:rsid w:val="07775F99"/>
    <w:rsid w:val="0779222E"/>
    <w:rsid w:val="07C711D9"/>
    <w:rsid w:val="07E60034"/>
    <w:rsid w:val="07FE19E0"/>
    <w:rsid w:val="08304AD7"/>
    <w:rsid w:val="08573FC2"/>
    <w:rsid w:val="08711A01"/>
    <w:rsid w:val="088465EB"/>
    <w:rsid w:val="089F025A"/>
    <w:rsid w:val="08D00786"/>
    <w:rsid w:val="08EE736A"/>
    <w:rsid w:val="091E6A51"/>
    <w:rsid w:val="09262F98"/>
    <w:rsid w:val="09392D70"/>
    <w:rsid w:val="093E5CDB"/>
    <w:rsid w:val="09AE02FC"/>
    <w:rsid w:val="09C2114F"/>
    <w:rsid w:val="09CB6E5D"/>
    <w:rsid w:val="0A090F7C"/>
    <w:rsid w:val="0A145707"/>
    <w:rsid w:val="0A2350EF"/>
    <w:rsid w:val="0ADC0564"/>
    <w:rsid w:val="0B202336"/>
    <w:rsid w:val="0B203ABD"/>
    <w:rsid w:val="0B462D3D"/>
    <w:rsid w:val="0B50695A"/>
    <w:rsid w:val="0B9618DE"/>
    <w:rsid w:val="0BAF611B"/>
    <w:rsid w:val="0C2535D0"/>
    <w:rsid w:val="0C923360"/>
    <w:rsid w:val="0C996DF0"/>
    <w:rsid w:val="0DA95CF7"/>
    <w:rsid w:val="0DBD6605"/>
    <w:rsid w:val="0E3E2777"/>
    <w:rsid w:val="0E751A21"/>
    <w:rsid w:val="0E7F788A"/>
    <w:rsid w:val="0EA50F7C"/>
    <w:rsid w:val="0EEF0970"/>
    <w:rsid w:val="0F070034"/>
    <w:rsid w:val="0F0A6979"/>
    <w:rsid w:val="0F184CB4"/>
    <w:rsid w:val="0F4447B5"/>
    <w:rsid w:val="0F8C2BF9"/>
    <w:rsid w:val="0F8E3594"/>
    <w:rsid w:val="0FAE2469"/>
    <w:rsid w:val="104002B1"/>
    <w:rsid w:val="10C24FE4"/>
    <w:rsid w:val="10FE4276"/>
    <w:rsid w:val="11350853"/>
    <w:rsid w:val="118D7362"/>
    <w:rsid w:val="11B7274F"/>
    <w:rsid w:val="11CE7885"/>
    <w:rsid w:val="11E46361"/>
    <w:rsid w:val="12135251"/>
    <w:rsid w:val="1226755E"/>
    <w:rsid w:val="122F6430"/>
    <w:rsid w:val="125378B5"/>
    <w:rsid w:val="128F3AB8"/>
    <w:rsid w:val="12F5724C"/>
    <w:rsid w:val="1316209A"/>
    <w:rsid w:val="13356001"/>
    <w:rsid w:val="13631B68"/>
    <w:rsid w:val="13994E64"/>
    <w:rsid w:val="13A5015E"/>
    <w:rsid w:val="13E6146B"/>
    <w:rsid w:val="13F448BF"/>
    <w:rsid w:val="141079C2"/>
    <w:rsid w:val="14235025"/>
    <w:rsid w:val="144E1E18"/>
    <w:rsid w:val="14955A09"/>
    <w:rsid w:val="14BD0097"/>
    <w:rsid w:val="14BD0719"/>
    <w:rsid w:val="14C1163C"/>
    <w:rsid w:val="14F3188A"/>
    <w:rsid w:val="14FF6B5F"/>
    <w:rsid w:val="1533648C"/>
    <w:rsid w:val="154C37CB"/>
    <w:rsid w:val="1551702B"/>
    <w:rsid w:val="155B530E"/>
    <w:rsid w:val="15743B57"/>
    <w:rsid w:val="15AD78AF"/>
    <w:rsid w:val="15B96077"/>
    <w:rsid w:val="15C72E8A"/>
    <w:rsid w:val="15E50779"/>
    <w:rsid w:val="16A257B6"/>
    <w:rsid w:val="16BF2A9A"/>
    <w:rsid w:val="16CC3872"/>
    <w:rsid w:val="16D41FF7"/>
    <w:rsid w:val="1718059E"/>
    <w:rsid w:val="17207DA5"/>
    <w:rsid w:val="1760686C"/>
    <w:rsid w:val="17655E8A"/>
    <w:rsid w:val="176D11F1"/>
    <w:rsid w:val="17A2657F"/>
    <w:rsid w:val="17EB23E5"/>
    <w:rsid w:val="184E0FA9"/>
    <w:rsid w:val="185B3745"/>
    <w:rsid w:val="187409E2"/>
    <w:rsid w:val="18D83713"/>
    <w:rsid w:val="18D91BA7"/>
    <w:rsid w:val="18E24350"/>
    <w:rsid w:val="1923137B"/>
    <w:rsid w:val="19582FA2"/>
    <w:rsid w:val="19786212"/>
    <w:rsid w:val="19854720"/>
    <w:rsid w:val="1A120C56"/>
    <w:rsid w:val="1B6C7C65"/>
    <w:rsid w:val="1B6D63FA"/>
    <w:rsid w:val="1BF75B75"/>
    <w:rsid w:val="1C02306B"/>
    <w:rsid w:val="1C0E6FBA"/>
    <w:rsid w:val="1C52438D"/>
    <w:rsid w:val="1C5D00EB"/>
    <w:rsid w:val="1C782A24"/>
    <w:rsid w:val="1C79210C"/>
    <w:rsid w:val="1C7A254B"/>
    <w:rsid w:val="1C9261F5"/>
    <w:rsid w:val="1CB06746"/>
    <w:rsid w:val="1CB646A6"/>
    <w:rsid w:val="1CF10EEB"/>
    <w:rsid w:val="1D1719AC"/>
    <w:rsid w:val="1D3C78C5"/>
    <w:rsid w:val="1D99367C"/>
    <w:rsid w:val="1DC141C8"/>
    <w:rsid w:val="1DD30705"/>
    <w:rsid w:val="1DF553E2"/>
    <w:rsid w:val="1E541DA5"/>
    <w:rsid w:val="1E720BD1"/>
    <w:rsid w:val="1E7637FE"/>
    <w:rsid w:val="1EBA3512"/>
    <w:rsid w:val="1EC12A46"/>
    <w:rsid w:val="1EE856DA"/>
    <w:rsid w:val="1F3B254F"/>
    <w:rsid w:val="1F4A7FD7"/>
    <w:rsid w:val="1F6752EB"/>
    <w:rsid w:val="1F810C06"/>
    <w:rsid w:val="1F8D1D42"/>
    <w:rsid w:val="1F8F1F67"/>
    <w:rsid w:val="1F9B4A87"/>
    <w:rsid w:val="1FA33CD6"/>
    <w:rsid w:val="1FB919ED"/>
    <w:rsid w:val="1FC364E0"/>
    <w:rsid w:val="1FDF4D62"/>
    <w:rsid w:val="1FDF6C67"/>
    <w:rsid w:val="1FEB28CB"/>
    <w:rsid w:val="20104309"/>
    <w:rsid w:val="202B1C91"/>
    <w:rsid w:val="2042246C"/>
    <w:rsid w:val="20645462"/>
    <w:rsid w:val="208E03A4"/>
    <w:rsid w:val="20B33A7D"/>
    <w:rsid w:val="20F70414"/>
    <w:rsid w:val="211566E3"/>
    <w:rsid w:val="217E2D91"/>
    <w:rsid w:val="21AA2EA2"/>
    <w:rsid w:val="221E1CFA"/>
    <w:rsid w:val="223B788B"/>
    <w:rsid w:val="223C05E6"/>
    <w:rsid w:val="22765A4A"/>
    <w:rsid w:val="22AA6577"/>
    <w:rsid w:val="22C97BCD"/>
    <w:rsid w:val="22EC3D58"/>
    <w:rsid w:val="23867C8B"/>
    <w:rsid w:val="23947F8D"/>
    <w:rsid w:val="23B55A04"/>
    <w:rsid w:val="23D93B8D"/>
    <w:rsid w:val="24192D18"/>
    <w:rsid w:val="242D60AD"/>
    <w:rsid w:val="24426159"/>
    <w:rsid w:val="247440FF"/>
    <w:rsid w:val="25011E4C"/>
    <w:rsid w:val="255A0443"/>
    <w:rsid w:val="261F6432"/>
    <w:rsid w:val="262A03C4"/>
    <w:rsid w:val="263B1BCE"/>
    <w:rsid w:val="26431E67"/>
    <w:rsid w:val="26494ECC"/>
    <w:rsid w:val="264E0132"/>
    <w:rsid w:val="269E2566"/>
    <w:rsid w:val="2709349D"/>
    <w:rsid w:val="27280A88"/>
    <w:rsid w:val="27451283"/>
    <w:rsid w:val="27E860CD"/>
    <w:rsid w:val="28485AAC"/>
    <w:rsid w:val="28834F41"/>
    <w:rsid w:val="28C34521"/>
    <w:rsid w:val="28D7450E"/>
    <w:rsid w:val="28DB109B"/>
    <w:rsid w:val="293D7B77"/>
    <w:rsid w:val="29542BB8"/>
    <w:rsid w:val="297C69DD"/>
    <w:rsid w:val="29A22BD7"/>
    <w:rsid w:val="29A722B4"/>
    <w:rsid w:val="2A6C35A3"/>
    <w:rsid w:val="2A6E466E"/>
    <w:rsid w:val="2A823C53"/>
    <w:rsid w:val="2ADB2B8B"/>
    <w:rsid w:val="2AE61917"/>
    <w:rsid w:val="2AFC7CE6"/>
    <w:rsid w:val="2B016057"/>
    <w:rsid w:val="2B0538D0"/>
    <w:rsid w:val="2B271174"/>
    <w:rsid w:val="2B7E5142"/>
    <w:rsid w:val="2B9C3444"/>
    <w:rsid w:val="2BF35B61"/>
    <w:rsid w:val="2BF855D6"/>
    <w:rsid w:val="2C04448F"/>
    <w:rsid w:val="2C1B0BC7"/>
    <w:rsid w:val="2C202E53"/>
    <w:rsid w:val="2C271033"/>
    <w:rsid w:val="2CB40F03"/>
    <w:rsid w:val="2CE0131A"/>
    <w:rsid w:val="2CFE391D"/>
    <w:rsid w:val="2D4161A0"/>
    <w:rsid w:val="2DC21167"/>
    <w:rsid w:val="2E5249EC"/>
    <w:rsid w:val="2E57007B"/>
    <w:rsid w:val="2EAD79CD"/>
    <w:rsid w:val="2FA17996"/>
    <w:rsid w:val="2FFF6843"/>
    <w:rsid w:val="30173C96"/>
    <w:rsid w:val="301F32DC"/>
    <w:rsid w:val="30237D5B"/>
    <w:rsid w:val="30413639"/>
    <w:rsid w:val="30540AC3"/>
    <w:rsid w:val="306314D1"/>
    <w:rsid w:val="30744451"/>
    <w:rsid w:val="30A63963"/>
    <w:rsid w:val="30B6366A"/>
    <w:rsid w:val="30FD3886"/>
    <w:rsid w:val="31EC570B"/>
    <w:rsid w:val="32483913"/>
    <w:rsid w:val="32D028FC"/>
    <w:rsid w:val="32F6508D"/>
    <w:rsid w:val="32F65DF3"/>
    <w:rsid w:val="33453945"/>
    <w:rsid w:val="335C108B"/>
    <w:rsid w:val="33666869"/>
    <w:rsid w:val="339D6F4D"/>
    <w:rsid w:val="33B4394E"/>
    <w:rsid w:val="343460CB"/>
    <w:rsid w:val="34582801"/>
    <w:rsid w:val="3466310E"/>
    <w:rsid w:val="34EF5F17"/>
    <w:rsid w:val="351D1540"/>
    <w:rsid w:val="352039B2"/>
    <w:rsid w:val="35A30C3F"/>
    <w:rsid w:val="36030532"/>
    <w:rsid w:val="360740C3"/>
    <w:rsid w:val="36483E08"/>
    <w:rsid w:val="367509EB"/>
    <w:rsid w:val="36872FA3"/>
    <w:rsid w:val="37167611"/>
    <w:rsid w:val="371D2DE6"/>
    <w:rsid w:val="37397B47"/>
    <w:rsid w:val="377311A5"/>
    <w:rsid w:val="37764BA5"/>
    <w:rsid w:val="37C20A3C"/>
    <w:rsid w:val="37D42BCA"/>
    <w:rsid w:val="38263393"/>
    <w:rsid w:val="3878739B"/>
    <w:rsid w:val="389F1881"/>
    <w:rsid w:val="392B3516"/>
    <w:rsid w:val="397F7D3E"/>
    <w:rsid w:val="39F00497"/>
    <w:rsid w:val="3A152400"/>
    <w:rsid w:val="3A5521C5"/>
    <w:rsid w:val="3A5D06BC"/>
    <w:rsid w:val="3A9A0764"/>
    <w:rsid w:val="3AAF5E01"/>
    <w:rsid w:val="3ADC1B4A"/>
    <w:rsid w:val="3AE80704"/>
    <w:rsid w:val="3AF93AC7"/>
    <w:rsid w:val="3AFA4355"/>
    <w:rsid w:val="3B177251"/>
    <w:rsid w:val="3B515926"/>
    <w:rsid w:val="3B5F1DC8"/>
    <w:rsid w:val="3B6B1391"/>
    <w:rsid w:val="3BB1328F"/>
    <w:rsid w:val="3BC4110A"/>
    <w:rsid w:val="3BEF29B7"/>
    <w:rsid w:val="3BFE5B70"/>
    <w:rsid w:val="3C15133B"/>
    <w:rsid w:val="3C714536"/>
    <w:rsid w:val="3C927FF3"/>
    <w:rsid w:val="3C93338F"/>
    <w:rsid w:val="3CAB5782"/>
    <w:rsid w:val="3D887CD2"/>
    <w:rsid w:val="3D947A13"/>
    <w:rsid w:val="3DD53043"/>
    <w:rsid w:val="3E6A448D"/>
    <w:rsid w:val="3E8F3916"/>
    <w:rsid w:val="3ED30970"/>
    <w:rsid w:val="3EEA24F4"/>
    <w:rsid w:val="3EFA3A89"/>
    <w:rsid w:val="3F163163"/>
    <w:rsid w:val="3F717830"/>
    <w:rsid w:val="3FEB5B31"/>
    <w:rsid w:val="403D4F6F"/>
    <w:rsid w:val="405A655D"/>
    <w:rsid w:val="40963267"/>
    <w:rsid w:val="40DE6909"/>
    <w:rsid w:val="41126137"/>
    <w:rsid w:val="411419A5"/>
    <w:rsid w:val="41414D16"/>
    <w:rsid w:val="415F00EF"/>
    <w:rsid w:val="41F5744C"/>
    <w:rsid w:val="4225299C"/>
    <w:rsid w:val="422F4DE3"/>
    <w:rsid w:val="4236477C"/>
    <w:rsid w:val="42381600"/>
    <w:rsid w:val="427D2E75"/>
    <w:rsid w:val="430915C6"/>
    <w:rsid w:val="430E5A1B"/>
    <w:rsid w:val="435608EF"/>
    <w:rsid w:val="43770B04"/>
    <w:rsid w:val="43835789"/>
    <w:rsid w:val="43883C00"/>
    <w:rsid w:val="43971BC5"/>
    <w:rsid w:val="439C7CCF"/>
    <w:rsid w:val="43BC037D"/>
    <w:rsid w:val="43E72AA6"/>
    <w:rsid w:val="443E36EE"/>
    <w:rsid w:val="444B7541"/>
    <w:rsid w:val="444D02D8"/>
    <w:rsid w:val="446B1B33"/>
    <w:rsid w:val="45052D5C"/>
    <w:rsid w:val="45144C34"/>
    <w:rsid w:val="451B7FEF"/>
    <w:rsid w:val="45354FE0"/>
    <w:rsid w:val="4560707B"/>
    <w:rsid w:val="456C528B"/>
    <w:rsid w:val="459B4738"/>
    <w:rsid w:val="45A051EA"/>
    <w:rsid w:val="45DB5CD5"/>
    <w:rsid w:val="45FE21F0"/>
    <w:rsid w:val="46284322"/>
    <w:rsid w:val="468D4243"/>
    <w:rsid w:val="46A11E27"/>
    <w:rsid w:val="46A93C7E"/>
    <w:rsid w:val="46B62528"/>
    <w:rsid w:val="46C136A1"/>
    <w:rsid w:val="474A5C53"/>
    <w:rsid w:val="4752412B"/>
    <w:rsid w:val="478A5B4D"/>
    <w:rsid w:val="478E7001"/>
    <w:rsid w:val="47A36A0A"/>
    <w:rsid w:val="47AE05B0"/>
    <w:rsid w:val="47D82FFD"/>
    <w:rsid w:val="47D94B30"/>
    <w:rsid w:val="47ED244A"/>
    <w:rsid w:val="48013674"/>
    <w:rsid w:val="48764B5A"/>
    <w:rsid w:val="48966F01"/>
    <w:rsid w:val="48A8679D"/>
    <w:rsid w:val="48AA1744"/>
    <w:rsid w:val="48E30273"/>
    <w:rsid w:val="48EF6B60"/>
    <w:rsid w:val="49127C4E"/>
    <w:rsid w:val="492B7CB9"/>
    <w:rsid w:val="493010DD"/>
    <w:rsid w:val="49544DB2"/>
    <w:rsid w:val="49644426"/>
    <w:rsid w:val="49881033"/>
    <w:rsid w:val="499814D1"/>
    <w:rsid w:val="499D3856"/>
    <w:rsid w:val="49A1006C"/>
    <w:rsid w:val="49C35187"/>
    <w:rsid w:val="4A316CA9"/>
    <w:rsid w:val="4A76171D"/>
    <w:rsid w:val="4A955017"/>
    <w:rsid w:val="4AA0356D"/>
    <w:rsid w:val="4AB119FA"/>
    <w:rsid w:val="4ADA16E7"/>
    <w:rsid w:val="4AEA3ED1"/>
    <w:rsid w:val="4AFE5806"/>
    <w:rsid w:val="4B1B4679"/>
    <w:rsid w:val="4B4E3CE3"/>
    <w:rsid w:val="4B586DBB"/>
    <w:rsid w:val="4B8469E1"/>
    <w:rsid w:val="4BBB3A16"/>
    <w:rsid w:val="4BCF763C"/>
    <w:rsid w:val="4BD25DE5"/>
    <w:rsid w:val="4C5D774A"/>
    <w:rsid w:val="4C7F10BE"/>
    <w:rsid w:val="4CB5688B"/>
    <w:rsid w:val="4CB95254"/>
    <w:rsid w:val="4CFA44F6"/>
    <w:rsid w:val="4DE0155E"/>
    <w:rsid w:val="4DEE2D89"/>
    <w:rsid w:val="4E147521"/>
    <w:rsid w:val="4E181492"/>
    <w:rsid w:val="4E882C2F"/>
    <w:rsid w:val="4F344522"/>
    <w:rsid w:val="4F963E26"/>
    <w:rsid w:val="4FB32AAC"/>
    <w:rsid w:val="4FBB5CCC"/>
    <w:rsid w:val="4FEF51F6"/>
    <w:rsid w:val="5021173A"/>
    <w:rsid w:val="508E2720"/>
    <w:rsid w:val="51026F25"/>
    <w:rsid w:val="510A074E"/>
    <w:rsid w:val="511222B5"/>
    <w:rsid w:val="51133B51"/>
    <w:rsid w:val="518F6F7D"/>
    <w:rsid w:val="51BD0EB2"/>
    <w:rsid w:val="51CC1ACF"/>
    <w:rsid w:val="51EC5771"/>
    <w:rsid w:val="51F062E2"/>
    <w:rsid w:val="520806DD"/>
    <w:rsid w:val="522C4B8D"/>
    <w:rsid w:val="526034AF"/>
    <w:rsid w:val="52793B4D"/>
    <w:rsid w:val="52B7208F"/>
    <w:rsid w:val="52CC667B"/>
    <w:rsid w:val="52F8469A"/>
    <w:rsid w:val="533868F2"/>
    <w:rsid w:val="537D5B7B"/>
    <w:rsid w:val="53AE7EC7"/>
    <w:rsid w:val="53B304D1"/>
    <w:rsid w:val="53DD571C"/>
    <w:rsid w:val="54661F3E"/>
    <w:rsid w:val="54745EEA"/>
    <w:rsid w:val="547E4586"/>
    <w:rsid w:val="55315C30"/>
    <w:rsid w:val="55464E68"/>
    <w:rsid w:val="557D1B9C"/>
    <w:rsid w:val="558C5099"/>
    <w:rsid w:val="559F18C3"/>
    <w:rsid w:val="55A74A6E"/>
    <w:rsid w:val="55D747E8"/>
    <w:rsid w:val="55E006E2"/>
    <w:rsid w:val="56765EA2"/>
    <w:rsid w:val="5689752E"/>
    <w:rsid w:val="56AB4DF3"/>
    <w:rsid w:val="56D23EF4"/>
    <w:rsid w:val="57837114"/>
    <w:rsid w:val="57A739F6"/>
    <w:rsid w:val="57B7562D"/>
    <w:rsid w:val="57FC0818"/>
    <w:rsid w:val="582E1821"/>
    <w:rsid w:val="58A46DD5"/>
    <w:rsid w:val="58CE6246"/>
    <w:rsid w:val="591349F7"/>
    <w:rsid w:val="592954B7"/>
    <w:rsid w:val="59303041"/>
    <w:rsid w:val="59A4102B"/>
    <w:rsid w:val="59A90800"/>
    <w:rsid w:val="5A232856"/>
    <w:rsid w:val="5A3D56CF"/>
    <w:rsid w:val="5A764C5A"/>
    <w:rsid w:val="5ACF65A5"/>
    <w:rsid w:val="5B1B2D1F"/>
    <w:rsid w:val="5B344542"/>
    <w:rsid w:val="5BF214B9"/>
    <w:rsid w:val="5C18190B"/>
    <w:rsid w:val="5C46078D"/>
    <w:rsid w:val="5C467186"/>
    <w:rsid w:val="5CC841D0"/>
    <w:rsid w:val="5CFA139F"/>
    <w:rsid w:val="5DC15424"/>
    <w:rsid w:val="5DCD139A"/>
    <w:rsid w:val="5E2D3976"/>
    <w:rsid w:val="5E3F3101"/>
    <w:rsid w:val="5EF9095F"/>
    <w:rsid w:val="5F2D3B55"/>
    <w:rsid w:val="5F861508"/>
    <w:rsid w:val="5F925EB2"/>
    <w:rsid w:val="5FE87977"/>
    <w:rsid w:val="609409F4"/>
    <w:rsid w:val="60A71EC7"/>
    <w:rsid w:val="60E71848"/>
    <w:rsid w:val="61126E1A"/>
    <w:rsid w:val="611F78EC"/>
    <w:rsid w:val="61462D5D"/>
    <w:rsid w:val="615601B6"/>
    <w:rsid w:val="61B5047A"/>
    <w:rsid w:val="61DB5936"/>
    <w:rsid w:val="61DF0F62"/>
    <w:rsid w:val="61E6276C"/>
    <w:rsid w:val="61ED1FFF"/>
    <w:rsid w:val="62270CC7"/>
    <w:rsid w:val="62324A06"/>
    <w:rsid w:val="623E645F"/>
    <w:rsid w:val="627634A3"/>
    <w:rsid w:val="62A95949"/>
    <w:rsid w:val="63491260"/>
    <w:rsid w:val="63812F3A"/>
    <w:rsid w:val="63816F0C"/>
    <w:rsid w:val="63D57A81"/>
    <w:rsid w:val="64191755"/>
    <w:rsid w:val="641A41AD"/>
    <w:rsid w:val="64211E71"/>
    <w:rsid w:val="648B3CFC"/>
    <w:rsid w:val="64C248D9"/>
    <w:rsid w:val="64C9513F"/>
    <w:rsid w:val="64EB6AC4"/>
    <w:rsid w:val="650F6003"/>
    <w:rsid w:val="65220512"/>
    <w:rsid w:val="657123EA"/>
    <w:rsid w:val="65732D14"/>
    <w:rsid w:val="65BC3CEC"/>
    <w:rsid w:val="65C749CF"/>
    <w:rsid w:val="660F6822"/>
    <w:rsid w:val="66214B60"/>
    <w:rsid w:val="66545CF3"/>
    <w:rsid w:val="666A2D39"/>
    <w:rsid w:val="667A71F0"/>
    <w:rsid w:val="66876167"/>
    <w:rsid w:val="669E60AE"/>
    <w:rsid w:val="67161339"/>
    <w:rsid w:val="678617DE"/>
    <w:rsid w:val="67E71272"/>
    <w:rsid w:val="67E76C8C"/>
    <w:rsid w:val="67EC17CB"/>
    <w:rsid w:val="68693E44"/>
    <w:rsid w:val="68AD20C4"/>
    <w:rsid w:val="68BF2BEE"/>
    <w:rsid w:val="69031208"/>
    <w:rsid w:val="69482989"/>
    <w:rsid w:val="69A52519"/>
    <w:rsid w:val="69B13BD4"/>
    <w:rsid w:val="69B17DE1"/>
    <w:rsid w:val="69B737B9"/>
    <w:rsid w:val="69C67AD5"/>
    <w:rsid w:val="6A507E63"/>
    <w:rsid w:val="6A773BD0"/>
    <w:rsid w:val="6B0E162B"/>
    <w:rsid w:val="6B187FEE"/>
    <w:rsid w:val="6B2F6B4B"/>
    <w:rsid w:val="6BDA154E"/>
    <w:rsid w:val="6C290ADE"/>
    <w:rsid w:val="6C357EC2"/>
    <w:rsid w:val="6C670F7E"/>
    <w:rsid w:val="6CC815CF"/>
    <w:rsid w:val="6CD00E52"/>
    <w:rsid w:val="6CF0222A"/>
    <w:rsid w:val="6D4A52D4"/>
    <w:rsid w:val="6D597D47"/>
    <w:rsid w:val="6D7262F9"/>
    <w:rsid w:val="6DA149D7"/>
    <w:rsid w:val="6DFC567C"/>
    <w:rsid w:val="6E414A2D"/>
    <w:rsid w:val="6E9B0B44"/>
    <w:rsid w:val="6EB50675"/>
    <w:rsid w:val="6F304550"/>
    <w:rsid w:val="6FAB087B"/>
    <w:rsid w:val="6FD626E2"/>
    <w:rsid w:val="70127B44"/>
    <w:rsid w:val="702D5B94"/>
    <w:rsid w:val="704156D5"/>
    <w:rsid w:val="70626431"/>
    <w:rsid w:val="706A4AFF"/>
    <w:rsid w:val="711C46A8"/>
    <w:rsid w:val="71347C19"/>
    <w:rsid w:val="71557D56"/>
    <w:rsid w:val="718872BF"/>
    <w:rsid w:val="720D1DE9"/>
    <w:rsid w:val="72207EB9"/>
    <w:rsid w:val="729D6FF4"/>
    <w:rsid w:val="72D456A4"/>
    <w:rsid w:val="72DD51F2"/>
    <w:rsid w:val="72ED202F"/>
    <w:rsid w:val="7335528C"/>
    <w:rsid w:val="736D4991"/>
    <w:rsid w:val="739B7582"/>
    <w:rsid w:val="73EB3473"/>
    <w:rsid w:val="741B39DB"/>
    <w:rsid w:val="74294237"/>
    <w:rsid w:val="74356B2D"/>
    <w:rsid w:val="744A74E8"/>
    <w:rsid w:val="745053AF"/>
    <w:rsid w:val="74770116"/>
    <w:rsid w:val="74B33267"/>
    <w:rsid w:val="75182F64"/>
    <w:rsid w:val="75183454"/>
    <w:rsid w:val="758C7ECD"/>
    <w:rsid w:val="75955440"/>
    <w:rsid w:val="76012957"/>
    <w:rsid w:val="76623C57"/>
    <w:rsid w:val="76677918"/>
    <w:rsid w:val="76AB03B6"/>
    <w:rsid w:val="77062C41"/>
    <w:rsid w:val="77477623"/>
    <w:rsid w:val="77583C41"/>
    <w:rsid w:val="78470D76"/>
    <w:rsid w:val="7866141C"/>
    <w:rsid w:val="78B402A8"/>
    <w:rsid w:val="78DB6D7B"/>
    <w:rsid w:val="78EC545A"/>
    <w:rsid w:val="7963156D"/>
    <w:rsid w:val="79805DC9"/>
    <w:rsid w:val="799079BE"/>
    <w:rsid w:val="79DB52C9"/>
    <w:rsid w:val="79EA650B"/>
    <w:rsid w:val="7A530D7C"/>
    <w:rsid w:val="7B0D3379"/>
    <w:rsid w:val="7B10002D"/>
    <w:rsid w:val="7B167932"/>
    <w:rsid w:val="7B1E72B1"/>
    <w:rsid w:val="7B483F55"/>
    <w:rsid w:val="7BB06D1F"/>
    <w:rsid w:val="7C2D36BA"/>
    <w:rsid w:val="7C36123C"/>
    <w:rsid w:val="7C3B1F7A"/>
    <w:rsid w:val="7C426CD9"/>
    <w:rsid w:val="7C6924D7"/>
    <w:rsid w:val="7C8C38CA"/>
    <w:rsid w:val="7C913D4D"/>
    <w:rsid w:val="7D2E2DCF"/>
    <w:rsid w:val="7D833EF0"/>
    <w:rsid w:val="7DA0735D"/>
    <w:rsid w:val="7DE50575"/>
    <w:rsid w:val="7E1A5244"/>
    <w:rsid w:val="7E781E30"/>
    <w:rsid w:val="7E792489"/>
    <w:rsid w:val="7E822578"/>
    <w:rsid w:val="7E851975"/>
    <w:rsid w:val="7EBD7CA3"/>
    <w:rsid w:val="7F6F6F25"/>
    <w:rsid w:val="7F822A78"/>
    <w:rsid w:val="7FCE3211"/>
    <w:rsid w:val="7FF53C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3"/>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topLinePunct/>
      <w:spacing w:line="360" w:lineRule="auto"/>
      <w:ind w:firstLine="964" w:firstLineChars="200"/>
      <w:jc w:val="both"/>
    </w:pPr>
    <w:rPr>
      <w:rFonts w:ascii="Times New Roman" w:hAnsi="Times New Roman" w:eastAsia="仿宋_GB2312" w:cs="宋体"/>
      <w:sz w:val="28"/>
      <w:szCs w:val="22"/>
      <w:lang w:val="zh-CN" w:eastAsia="zh-CN" w:bidi="zh-CN"/>
    </w:rPr>
  </w:style>
  <w:style w:type="paragraph" w:styleId="3">
    <w:name w:val="heading 1"/>
    <w:basedOn w:val="1"/>
    <w:next w:val="1"/>
    <w:qFormat/>
    <w:uiPriority w:val="1"/>
    <w:pPr>
      <w:spacing w:beforeLines="50"/>
      <w:outlineLvl w:val="0"/>
    </w:pPr>
    <w:rPr>
      <w:rFonts w:ascii="Microsoft JhengHei" w:hAnsi="Microsoft JhengHei" w:eastAsia="黑体" w:cs="Microsoft JhengHei"/>
      <w:b/>
      <w:bCs/>
      <w:sz w:val="32"/>
      <w:szCs w:val="44"/>
    </w:rPr>
  </w:style>
  <w:style w:type="paragraph" w:styleId="4">
    <w:name w:val="heading 2"/>
    <w:basedOn w:val="1"/>
    <w:next w:val="1"/>
    <w:qFormat/>
    <w:uiPriority w:val="1"/>
    <w:pPr>
      <w:spacing w:beforeLines="50"/>
      <w:outlineLvl w:val="1"/>
    </w:pPr>
    <w:rPr>
      <w:rFonts w:ascii="Microsoft JhengHei" w:hAnsi="Microsoft JhengHei" w:eastAsia="黑体" w:cs="Microsoft JhengHei"/>
      <w:b/>
      <w:bCs/>
      <w:szCs w:val="32"/>
    </w:rPr>
  </w:style>
  <w:style w:type="paragraph" w:styleId="5">
    <w:name w:val="heading 3"/>
    <w:basedOn w:val="1"/>
    <w:next w:val="1"/>
    <w:link w:val="36"/>
    <w:unhideWhenUsed/>
    <w:qFormat/>
    <w:uiPriority w:val="0"/>
    <w:pPr>
      <w:keepNext/>
      <w:keepLines/>
      <w:spacing w:beforeLines="50"/>
      <w:outlineLvl w:val="2"/>
    </w:pPr>
    <w:rPr>
      <w:b/>
      <w:bCs/>
      <w:szCs w:val="32"/>
    </w:rPr>
  </w:style>
  <w:style w:type="paragraph" w:styleId="6">
    <w:name w:val="heading 9"/>
    <w:basedOn w:val="1"/>
    <w:next w:val="1"/>
    <w:qFormat/>
    <w:uiPriority w:val="0"/>
    <w:pPr>
      <w:keepNext/>
      <w:keepLines/>
      <w:adjustRightInd w:val="0"/>
      <w:spacing w:beforeLines="20" w:afterLines="20" w:line="320" w:lineRule="atLeast"/>
      <w:ind w:firstLine="0" w:firstLineChars="0"/>
      <w:contextualSpacing/>
      <w:jc w:val="left"/>
      <w:textAlignment w:val="baseline"/>
      <w:outlineLvl w:val="8"/>
    </w:pPr>
    <w:rPr>
      <w:rFonts w:ascii="Arial" w:hAnsi="Arial" w:eastAsia="宋体"/>
      <w:sz w:val="2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spacing w:before="25"/>
      <w:ind w:left="580"/>
    </w:pPr>
    <w:rPr>
      <w:rFonts w:ascii="Microsoft JhengHei" w:hAnsi="Microsoft JhengHei" w:eastAsia="Microsoft JhengHei" w:cs="Microsoft JhengHei"/>
      <w:b/>
      <w:bCs/>
      <w:szCs w:val="28"/>
    </w:rPr>
  </w:style>
  <w:style w:type="paragraph" w:styleId="7">
    <w:name w:val="annotation text"/>
    <w:basedOn w:val="1"/>
    <w:link w:val="34"/>
    <w:qFormat/>
    <w:uiPriority w:val="0"/>
  </w:style>
  <w:style w:type="paragraph" w:styleId="8">
    <w:name w:val="Body Text"/>
    <w:basedOn w:val="1"/>
    <w:qFormat/>
    <w:uiPriority w:val="1"/>
    <w:pPr>
      <w:ind w:left="580"/>
    </w:pPr>
    <w:rPr>
      <w:sz w:val="32"/>
      <w:szCs w:val="32"/>
    </w:rPr>
  </w:style>
  <w:style w:type="paragraph" w:styleId="9">
    <w:name w:val="toc 3"/>
    <w:basedOn w:val="1"/>
    <w:next w:val="1"/>
    <w:link w:val="37"/>
    <w:qFormat/>
    <w:uiPriority w:val="1"/>
    <w:pPr>
      <w:spacing w:before="191"/>
      <w:ind w:left="821"/>
    </w:pPr>
    <w:rPr>
      <w:szCs w:val="28"/>
    </w:rPr>
  </w:style>
  <w:style w:type="paragraph" w:styleId="10">
    <w:name w:val="Balloon Text"/>
    <w:basedOn w:val="1"/>
    <w:link w:val="33"/>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35"/>
      <w:ind w:right="17" w:firstLine="0" w:firstLineChars="0"/>
      <w:jc w:val="center"/>
    </w:pPr>
    <w:rPr>
      <w:rFonts w:ascii="Microsoft JhengHei" w:hAnsi="Microsoft JhengHei" w:eastAsia="Microsoft JhengHei" w:cs="Microsoft JhengHei"/>
      <w:b/>
      <w:bCs/>
      <w:szCs w:val="28"/>
    </w:rPr>
  </w:style>
  <w:style w:type="paragraph" w:styleId="14">
    <w:name w:val="Subtitle"/>
    <w:basedOn w:val="1"/>
    <w:next w:val="1"/>
    <w:link w:val="4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footnote text"/>
    <w:basedOn w:val="1"/>
    <w:qFormat/>
    <w:uiPriority w:val="0"/>
    <w:pPr>
      <w:snapToGrid w:val="0"/>
    </w:pPr>
    <w:rPr>
      <w:sz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annotation subject"/>
    <w:basedOn w:val="7"/>
    <w:next w:val="7"/>
    <w:link w:val="35"/>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page number"/>
    <w:basedOn w:val="20"/>
    <w:qFormat/>
    <w:uiPriority w:val="0"/>
  </w:style>
  <w:style w:type="character" w:styleId="23">
    <w:name w:val="Hyperlink"/>
    <w:basedOn w:val="20"/>
    <w:unhideWhenUsed/>
    <w:qFormat/>
    <w:uiPriority w:val="99"/>
    <w:rPr>
      <w:color w:val="0000FF" w:themeColor="hyperlink"/>
      <w:u w:val="single"/>
    </w:rPr>
  </w:style>
  <w:style w:type="character" w:styleId="24">
    <w:name w:val="annotation reference"/>
    <w:basedOn w:val="20"/>
    <w:qFormat/>
    <w:uiPriority w:val="99"/>
    <w:rPr>
      <w:sz w:val="21"/>
      <w:szCs w:val="21"/>
    </w:rPr>
  </w:style>
  <w:style w:type="character" w:styleId="25">
    <w:name w:val="footnote reference"/>
    <w:basedOn w:val="20"/>
    <w:qFormat/>
    <w:uiPriority w:val="0"/>
    <w:rPr>
      <w:vertAlign w:val="superscript"/>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580" w:hanging="242"/>
    </w:pPr>
  </w:style>
  <w:style w:type="paragraph" w:customStyle="1" w:styleId="28">
    <w:name w:val="Table Paragraph"/>
    <w:basedOn w:val="1"/>
    <w:qFormat/>
    <w:uiPriority w:val="1"/>
  </w:style>
  <w:style w:type="paragraph" w:customStyle="1" w:styleId="29">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31">
    <w:name w:val="WPSOffice手动目录 1"/>
    <w:qFormat/>
    <w:uiPriority w:val="0"/>
    <w:rPr>
      <w:rFonts w:asciiTheme="minorHAnsi" w:hAnsiTheme="minorHAnsi" w:eastAsiaTheme="minorHAnsi" w:cstheme="minorBidi"/>
      <w:lang w:val="en-US" w:eastAsia="zh-CN" w:bidi="ar-SA"/>
    </w:rPr>
  </w:style>
  <w:style w:type="character" w:customStyle="1" w:styleId="32">
    <w:name w:val="页眉 Char"/>
    <w:basedOn w:val="20"/>
    <w:link w:val="12"/>
    <w:qFormat/>
    <w:uiPriority w:val="99"/>
    <w:rPr>
      <w:rFonts w:ascii="宋体" w:hAnsi="宋体" w:cs="宋体"/>
      <w:sz w:val="18"/>
      <w:szCs w:val="18"/>
      <w:lang w:val="zh-CN" w:bidi="zh-CN"/>
    </w:rPr>
  </w:style>
  <w:style w:type="character" w:customStyle="1" w:styleId="33">
    <w:name w:val="批注框文本 Char"/>
    <w:basedOn w:val="20"/>
    <w:link w:val="10"/>
    <w:qFormat/>
    <w:uiPriority w:val="0"/>
    <w:rPr>
      <w:rFonts w:ascii="宋体" w:hAnsi="宋体" w:cs="宋体"/>
      <w:sz w:val="18"/>
      <w:szCs w:val="18"/>
      <w:lang w:val="zh-CN" w:bidi="zh-CN"/>
    </w:rPr>
  </w:style>
  <w:style w:type="character" w:customStyle="1" w:styleId="34">
    <w:name w:val="批注文字 Char"/>
    <w:basedOn w:val="20"/>
    <w:link w:val="7"/>
    <w:qFormat/>
    <w:uiPriority w:val="0"/>
    <w:rPr>
      <w:rFonts w:ascii="宋体" w:hAnsi="宋体" w:cs="宋体"/>
      <w:sz w:val="22"/>
      <w:szCs w:val="22"/>
      <w:lang w:val="zh-CN" w:bidi="zh-CN"/>
    </w:rPr>
  </w:style>
  <w:style w:type="character" w:customStyle="1" w:styleId="35">
    <w:name w:val="批注主题 Char"/>
    <w:basedOn w:val="34"/>
    <w:link w:val="17"/>
    <w:qFormat/>
    <w:uiPriority w:val="0"/>
    <w:rPr>
      <w:rFonts w:ascii="宋体" w:hAnsi="宋体" w:cs="宋体"/>
      <w:b/>
      <w:bCs/>
      <w:sz w:val="22"/>
      <w:szCs w:val="22"/>
      <w:lang w:val="zh-CN" w:bidi="zh-CN"/>
    </w:rPr>
  </w:style>
  <w:style w:type="character" w:customStyle="1" w:styleId="36">
    <w:name w:val="标题 3 Char"/>
    <w:basedOn w:val="20"/>
    <w:link w:val="5"/>
    <w:semiHidden/>
    <w:qFormat/>
    <w:uiPriority w:val="0"/>
    <w:rPr>
      <w:rFonts w:ascii="宋体" w:hAnsi="宋体" w:eastAsia="仿宋_GB2312" w:cs="宋体"/>
      <w:b/>
      <w:bCs/>
      <w:sz w:val="28"/>
      <w:szCs w:val="32"/>
      <w:lang w:val="zh-CN" w:bidi="zh-CN"/>
    </w:rPr>
  </w:style>
  <w:style w:type="character" w:customStyle="1" w:styleId="37">
    <w:name w:val="目录 3 Char"/>
    <w:link w:val="9"/>
    <w:qFormat/>
    <w:uiPriority w:val="1"/>
    <w:rPr>
      <w:sz w:val="28"/>
      <w:szCs w:val="28"/>
    </w:rPr>
  </w:style>
  <w:style w:type="character" w:customStyle="1" w:styleId="38">
    <w:name w:val="font11"/>
    <w:basedOn w:val="20"/>
    <w:qFormat/>
    <w:uiPriority w:val="0"/>
    <w:rPr>
      <w:rFonts w:hint="eastAsia" w:ascii="宋体" w:hAnsi="宋体" w:eastAsia="宋体" w:cs="宋体"/>
      <w:color w:val="000000"/>
      <w:sz w:val="20"/>
      <w:szCs w:val="20"/>
      <w:u w:val="none"/>
    </w:rPr>
  </w:style>
  <w:style w:type="character" w:customStyle="1" w:styleId="39">
    <w:name w:val="font01"/>
    <w:basedOn w:val="20"/>
    <w:qFormat/>
    <w:uiPriority w:val="0"/>
    <w:rPr>
      <w:rFonts w:hint="eastAsia" w:ascii="宋体" w:hAnsi="宋体" w:eastAsia="宋体" w:cs="宋体"/>
      <w:color w:val="FF0000"/>
      <w:sz w:val="20"/>
      <w:szCs w:val="20"/>
      <w:u w:val="none"/>
    </w:rPr>
  </w:style>
  <w:style w:type="character" w:customStyle="1" w:styleId="40">
    <w:name w:val="font21"/>
    <w:basedOn w:val="20"/>
    <w:qFormat/>
    <w:uiPriority w:val="0"/>
    <w:rPr>
      <w:rFonts w:hint="eastAsia" w:ascii="仿宋_GB2312" w:eastAsia="仿宋_GB2312" w:cs="仿宋_GB2312"/>
      <w:b/>
      <w:color w:val="000000"/>
      <w:sz w:val="24"/>
      <w:szCs w:val="24"/>
      <w:u w:val="none"/>
    </w:rPr>
  </w:style>
  <w:style w:type="character" w:customStyle="1" w:styleId="41">
    <w:name w:val="副标题 Char"/>
    <w:basedOn w:val="20"/>
    <w:link w:val="14"/>
    <w:qFormat/>
    <w:uiPriority w:val="0"/>
    <w:rPr>
      <w:rFonts w:asciiTheme="majorHAnsi" w:hAnsiTheme="majorHAnsi" w:cstheme="majorBidi"/>
      <w:b/>
      <w:bCs/>
      <w:kern w:val="28"/>
      <w:sz w:val="32"/>
      <w:szCs w:val="32"/>
      <w:lang w:val="zh-CN" w:bidi="zh-CN"/>
    </w:rPr>
  </w:style>
  <w:style w:type="paragraph" w:customStyle="1" w:styleId="42">
    <w:name w:val="正文1"/>
    <w:basedOn w:val="1"/>
    <w:qFormat/>
    <w:uiPriority w:val="0"/>
    <w:pPr>
      <w:topLinePunct w:val="0"/>
      <w:adjustRightInd w:val="0"/>
      <w:spacing w:line="318" w:lineRule="atLeast"/>
      <w:ind w:left="369" w:firstLine="369" w:firstLineChars="0"/>
      <w:textAlignment w:val="baseline"/>
    </w:pPr>
    <w:rPr>
      <w:rFonts w:ascii="宋体" w:hAnsi="Calibri" w:eastAsia="宋体" w:cs="Times New Roman"/>
      <w:kern w:val="2"/>
      <w:sz w:val="21"/>
      <w:szCs w:val="20"/>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DC0DB-B237-48BA-9CCE-055FCC508BE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13373</Words>
  <Characters>14055</Characters>
  <Lines>157</Lines>
  <Paragraphs>44</Paragraphs>
  <TotalTime>151</TotalTime>
  <ScaleCrop>false</ScaleCrop>
  <LinksUpToDate>false</LinksUpToDate>
  <CharactersWithSpaces>14245</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2020-05-06T07:17:00Z</dcterms:created>
  <dc:creator>lcp</dc:creator>
  <cp:lastModifiedBy></cp:lastModifiedBy>
  <cp:lastPrinted>2022-09-05T08:54:40Z</cp:lastPrinted>
  <dcterms:modified xsi:type="dcterms:W3CDTF">2022-09-05T09:06:08Z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2016</vt:lpwstr>
  </property>
  <property fmtid="{D5CDD505-2E9C-101B-9397-08002B2CF9AE}" pid="4" name="LastSaved">
    <vt:filetime>2020-05-06T00:00:00Z</vt:filetime>
  </property>
  <property fmtid="{D5CDD505-2E9C-101B-9397-08002B2CF9AE}" pid="5" name="KSOProductBuildVer">
    <vt:lpwstr>2052-11.1.0.12353</vt:lpwstr>
  </property>
  <property fmtid="{D5CDD505-2E9C-101B-9397-08002B2CF9AE}" pid="6" name="ICV">
    <vt:lpwstr>C211FA4A36984076B4C6B5FCE50EDA95</vt:lpwstr>
  </property>
</Properties>
</file>