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atLeast"/>
        <w:jc w:val="center"/>
        <w:rPr>
          <w:rFonts w:hint="eastAsia" w:ascii="方正小标宋简体" w:hAnsi="仿宋" w:eastAsia="方正小标宋简体" w:cs="Times New Roman"/>
          <w:b w:val="0"/>
          <w:bCs/>
          <w:kern w:val="0"/>
          <w:sz w:val="44"/>
          <w:szCs w:val="44"/>
        </w:rPr>
      </w:pPr>
      <w:r>
        <w:rPr>
          <w:rFonts w:hint="eastAsia" w:ascii="方正小标宋简体" w:hAnsi="仿宋" w:eastAsia="方正小标宋简体" w:cs="Times New Roman"/>
          <w:b w:val="0"/>
          <w:bCs/>
          <w:kern w:val="0"/>
          <w:sz w:val="44"/>
          <w:szCs w:val="44"/>
        </w:rPr>
        <w:t>部门整体支出绩效评价自评报告</w:t>
      </w:r>
    </w:p>
    <w:p>
      <w:pPr>
        <w:adjustRightInd w:val="0"/>
        <w:snapToGrid w:val="0"/>
        <w:spacing w:line="560" w:lineRule="atLeast"/>
        <w:jc w:val="center"/>
        <w:rPr>
          <w:rFonts w:hint="eastAsia" w:ascii="方正小标宋简体" w:hAnsi="仿宋" w:eastAsia="方正小标宋简体" w:cs="Times New Roman"/>
          <w:b w:val="0"/>
          <w:bCs/>
          <w:kern w:val="0"/>
          <w:sz w:val="44"/>
          <w:szCs w:val="44"/>
        </w:rPr>
      </w:pPr>
      <w:r>
        <w:rPr>
          <w:rFonts w:hint="eastAsia" w:ascii="方正小标宋简体" w:hAnsi="仿宋" w:eastAsia="方正小标宋简体" w:cs="Times New Roman"/>
          <w:b w:val="0"/>
          <w:bCs/>
          <w:kern w:val="0"/>
          <w:sz w:val="44"/>
          <w:szCs w:val="44"/>
        </w:rPr>
        <w:t xml:space="preserve">（    </w:t>
      </w:r>
      <w:r>
        <w:rPr>
          <w:rFonts w:hint="eastAsia" w:ascii="方正小标宋简体" w:hAnsi="仿宋" w:eastAsia="方正小标宋简体" w:cs="Times New Roman"/>
          <w:b w:val="0"/>
          <w:bCs/>
          <w:kern w:val="0"/>
          <w:sz w:val="44"/>
          <w:szCs w:val="44"/>
          <w:lang w:val="en-US" w:eastAsia="zh-CN"/>
        </w:rPr>
        <w:t>2020</w:t>
      </w:r>
      <w:r>
        <w:rPr>
          <w:rFonts w:hint="eastAsia" w:ascii="方正小标宋简体" w:hAnsi="仿宋" w:eastAsia="方正小标宋简体" w:cs="Times New Roman"/>
          <w:b w:val="0"/>
          <w:bCs/>
          <w:kern w:val="0"/>
          <w:sz w:val="44"/>
          <w:szCs w:val="44"/>
        </w:rPr>
        <w:t xml:space="preserve">   年度）</w:t>
      </w:r>
    </w:p>
    <w:p>
      <w:pPr>
        <w:jc w:val="center"/>
        <w:rPr>
          <w:rFonts w:hint="eastAsia" w:ascii="Times New Roman" w:hAnsi="Times New Roman" w:eastAsia="楷体_GB2312" w:cs="Times New Roman"/>
          <w:sz w:val="32"/>
          <w:szCs w:val="24"/>
        </w:rPr>
      </w:pPr>
    </w:p>
    <w:p>
      <w:pPr>
        <w:jc w:val="center"/>
        <w:rPr>
          <w:rFonts w:hint="eastAsia" w:ascii="Times New Roman" w:hAnsi="Times New Roman" w:eastAsia="楷体_GB2312" w:cs="Times New Roman"/>
          <w:sz w:val="32"/>
          <w:szCs w:val="24"/>
        </w:rPr>
      </w:pPr>
    </w:p>
    <w:p>
      <w:pPr>
        <w:spacing w:line="580" w:lineRule="exact"/>
        <w:rPr>
          <w:rFonts w:ascii="Times New Roman" w:hAnsi="Times New Roman" w:eastAsia="仿宋_GB2312" w:cs="Times New Roman"/>
          <w:sz w:val="30"/>
          <w:szCs w:val="30"/>
        </w:rPr>
      </w:pPr>
      <w:r>
        <w:rPr>
          <w:rFonts w:ascii="Times New Roman" w:hAnsi="Times New Roman" w:eastAsia="仿宋_GB2312" w:cs="Times New Roman"/>
          <w:sz w:val="32"/>
          <w:szCs w:val="32"/>
          <w:lang w:val="en-US" w:eastAsia="zh-CN"/>
        </w:rPr>
        <mc:AlternateContent>
          <mc:Choice Requires="wps">
            <w:drawing>
              <wp:anchor distT="0" distB="0" distL="114300" distR="114300" simplePos="0" relativeHeight="251659264" behindDoc="0" locked="0" layoutInCell="1" allowOverlap="1">
                <wp:simplePos x="0" y="0"/>
                <wp:positionH relativeFrom="column">
                  <wp:posOffset>942975</wp:posOffset>
                </wp:positionH>
                <wp:positionV relativeFrom="paragraph">
                  <wp:posOffset>126365</wp:posOffset>
                </wp:positionV>
                <wp:extent cx="161925" cy="161925"/>
                <wp:effectExtent l="4445" t="4445" r="5080" b="508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1925" cy="161925"/>
                        </a:xfrm>
                        <a:prstGeom prst="rect">
                          <a:avLst/>
                        </a:prstGeom>
                        <a:solidFill>
                          <a:srgbClr val="FFFFFF"/>
                        </a:solidFill>
                        <a:ln w="9525" cmpd="sng">
                          <a:solidFill>
                            <a:srgbClr val="000000"/>
                          </a:solidFill>
                          <a:miter lim="800000"/>
                        </a:ln>
                      </wps:spPr>
                      <wps:txbx>
                        <w:txbxContent>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74.25pt;margin-top:9.95pt;height:12.75pt;width:12.75pt;z-index:251659264;mso-width-relative:page;mso-height-relative:page;" fillcolor="#FFFFFF" filled="t" stroked="t" coordsize="21600,21600" o:gfxdata="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Db0r9XXAAAACQEAAA8AAAAAAAAAAQAgAAAAIgAAAGRy&#10;cy9kb3ducmV2LnhtbFBLAQIUABQAAAAIAIdO4kByxV3CPwIAAJEEAAAOAAAAAAAAAAEAIAAAACYB&#10;AABkcnMvZTJvRG9jLnhtbFBLBQYAAAAABgAGAFkBAADXBQAAAAA=&#10;">
                <v:fill on="t" focussize="0,0"/>
                <v:stroke color="#000000" miterlimit="8" joinstyle="miter"/>
                <v:imagedata o:title=""/>
                <o:lock v:ext="edit" aspectratio="f"/>
                <v:textbox>
                  <w:txbxContent>
                    <w:p/>
                  </w:txbxContent>
                </v:textbox>
              </v:shape>
            </w:pict>
          </mc:Fallback>
        </mc:AlternateContent>
      </w:r>
      <w:r>
        <w:rPr>
          <w:rFonts w:ascii="Times New Roman" w:hAnsi="Times New Roman" w:eastAsia="仿宋_GB2312" w:cs="Times New Roman"/>
          <w:sz w:val="32"/>
          <w:szCs w:val="32"/>
          <w:lang w:val="en-US" w:eastAsia="zh-CN"/>
        </w:rPr>
        <mc:AlternateContent>
          <mc:Choice Requires="wps">
            <w:drawing>
              <wp:anchor distT="0" distB="0" distL="114300" distR="114300" simplePos="0" relativeHeight="251660288" behindDoc="0" locked="0" layoutInCell="1" allowOverlap="1">
                <wp:simplePos x="0" y="0"/>
                <wp:positionH relativeFrom="column">
                  <wp:posOffset>2905125</wp:posOffset>
                </wp:positionH>
                <wp:positionV relativeFrom="paragraph">
                  <wp:posOffset>149225</wp:posOffset>
                </wp:positionV>
                <wp:extent cx="161925" cy="161925"/>
                <wp:effectExtent l="4445" t="4445" r="5080" b="508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61925" cy="161925"/>
                        </a:xfrm>
                        <a:prstGeom prst="rect">
                          <a:avLst/>
                        </a:prstGeom>
                        <a:solidFill>
                          <a:srgbClr val="FFFFFF"/>
                        </a:solidFill>
                        <a:ln w="9525" cmpd="sng">
                          <a:solidFill>
                            <a:srgbClr val="000000"/>
                          </a:solidFill>
                          <a:miter lim="800000"/>
                        </a:ln>
                      </wps:spPr>
                      <wps:txbx>
                        <w:txbxContent>
                          <w:p>
                            <w:pPr>
                              <w:ind w:firstLine="480"/>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28.75pt;margin-top:11.75pt;height:12.75pt;width:12.75pt;z-index:251660288;mso-width-relative:page;mso-height-relative:page;" fillcolor="#FFFFFF" filled="t" stroked="t" coordsize="21600,21600" o:gfxdata="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GbHTdHZAAAACQEAAA8AAAAAAAAAAQAgAAAA&#10;IgAAAGRycy9kb3ducmV2LnhtbFBLAQIUABQAAAAIAIdO4kCU+QEfQwIAAJEEAAAOAAAAAAAAAAEA&#10;IAAAACgBAABkcnMvZTJvRG9jLnhtbFBLBQYAAAAABgAGAFkBAADdBQAAAAA=&#10;">
                <v:fill on="t" focussize="0,0"/>
                <v:stroke color="#000000" miterlimit="8" joinstyle="miter"/>
                <v:imagedata o:title=""/>
                <o:lock v:ext="edit" aspectratio="f"/>
                <v:textbox>
                  <w:txbxContent>
                    <w:p>
                      <w:pPr>
                        <w:ind w:firstLine="480"/>
                      </w:pPr>
                    </w:p>
                  </w:txbxContent>
                </v:textbox>
              </v:shape>
            </w:pict>
          </mc:Fallback>
        </mc:AlternateContent>
      </w:r>
      <w:r>
        <w:rPr>
          <w:rFonts w:hint="eastAsia" w:ascii="Times New Roman" w:hAnsi="Times New Roman" w:eastAsia="仿宋_GB2312" w:cs="Times New Roman"/>
          <w:sz w:val="32"/>
          <w:szCs w:val="32"/>
        </w:rPr>
        <w:t>评价类型：</w:t>
      </w:r>
      <w:r>
        <w:rPr>
          <w:rFonts w:hint="eastAsia" w:ascii="Times New Roman" w:hAnsi="Times New Roman" w:eastAsia="仿宋_GB2312" w:cs="Times New Roman"/>
          <w:sz w:val="30"/>
          <w:szCs w:val="30"/>
        </w:rPr>
        <w:t xml:space="preserve"> </w:t>
      </w:r>
      <w:r>
        <w:rPr>
          <w:rFonts w:hint="eastAsia" w:ascii="Times New Roman" w:hAnsi="Times New Roman" w:eastAsia="仿宋_GB2312" w:cs="Times New Roman"/>
          <w:sz w:val="30"/>
          <w:szCs w:val="30"/>
          <w:lang w:val="en-US" w:eastAsia="zh-CN"/>
        </w:rPr>
        <w:t xml:space="preserve"> </w:t>
      </w:r>
      <w:r>
        <w:rPr>
          <w:rFonts w:hint="eastAsia" w:ascii="Times New Roman" w:hAnsi="Times New Roman" w:eastAsia="仿宋_GB2312" w:cs="Times New Roman"/>
          <w:sz w:val="32"/>
          <w:szCs w:val="32"/>
        </w:rPr>
        <w:t>项目实施过程评价</w:t>
      </w:r>
      <w:r>
        <w:rPr>
          <w:rFonts w:hint="eastAsia" w:ascii="Times New Roman" w:hAnsi="Times New Roman" w:eastAsia="仿宋_GB2312" w:cs="Times New Roman"/>
          <w:sz w:val="30"/>
          <w:szCs w:val="30"/>
        </w:rPr>
        <w:t xml:space="preserve">    </w:t>
      </w:r>
      <w:r>
        <w:rPr>
          <w:rFonts w:hint="eastAsia" w:ascii="Times New Roman" w:hAnsi="Times New Roman" w:eastAsia="仿宋_GB2312" w:cs="Times New Roman"/>
          <w:sz w:val="32"/>
          <w:szCs w:val="32"/>
        </w:rPr>
        <w:t>项目完成结果评价</w:t>
      </w:r>
    </w:p>
    <w:p>
      <w:pPr>
        <w:spacing w:line="580" w:lineRule="exact"/>
        <w:rPr>
          <w:rFonts w:hint="eastAsia" w:ascii="Times New Roman" w:hAnsi="Times New Roman" w:eastAsia="仿宋_GB2312" w:cs="Times New Roman"/>
          <w:sz w:val="32"/>
          <w:szCs w:val="32"/>
        </w:rPr>
      </w:pPr>
      <w:bookmarkStart w:id="1" w:name="_GoBack"/>
      <w:bookmarkEnd w:id="1"/>
    </w:p>
    <w:p>
      <w:pPr>
        <w:spacing w:line="580" w:lineRule="exact"/>
        <w:rPr>
          <w:rFonts w:ascii="Times New Roman" w:hAnsi="Times New Roman" w:eastAsia="仿宋_GB2312" w:cs="Times New Roman"/>
          <w:sz w:val="32"/>
          <w:szCs w:val="32"/>
          <w:u w:val="single"/>
        </w:rPr>
      </w:pPr>
      <w:r>
        <w:rPr>
          <w:rFonts w:hint="eastAsia" w:ascii="Times New Roman" w:hAnsi="Times New Roman" w:eastAsia="仿宋_GB2312" w:cs="Times New Roman"/>
          <w:sz w:val="32"/>
          <w:szCs w:val="32"/>
        </w:rPr>
        <w:t>部门（单位）全称</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u w:val="single"/>
          <w:lang w:val="en-US" w:eastAsia="zh-CN"/>
        </w:rPr>
        <w:t>承德市医疗保障局</w:t>
      </w:r>
      <w:r>
        <w:rPr>
          <w:rFonts w:hint="eastAsia" w:ascii="Times New Roman" w:hAnsi="Times New Roman" w:eastAsia="仿宋_GB2312" w:cs="Times New Roman"/>
          <w:sz w:val="32"/>
          <w:szCs w:val="32"/>
          <w:u w:val="single"/>
        </w:rPr>
        <w:t>（公章）</w:t>
      </w:r>
      <w:r>
        <w:rPr>
          <w:rFonts w:hint="eastAsia" w:ascii="Times New Roman" w:hAnsi="Times New Roman" w:eastAsia="仿宋_GB2312" w:cs="Times New Roman"/>
          <w:sz w:val="32"/>
          <w:szCs w:val="32"/>
          <w:u w:val="single"/>
          <w:lang w:val="en-US" w:eastAsia="zh-CN"/>
        </w:rPr>
        <w:t xml:space="preserve">        </w:t>
      </w:r>
      <w:r>
        <w:rPr>
          <w:rFonts w:hint="eastAsia" w:ascii="Times New Roman" w:hAnsi="Times New Roman" w:eastAsia="仿宋_GB2312" w:cs="Times New Roman"/>
          <w:sz w:val="32"/>
          <w:szCs w:val="32"/>
          <w:u w:val="single"/>
        </w:rPr>
        <w:t xml:space="preserve"> </w:t>
      </w:r>
    </w:p>
    <w:p>
      <w:pPr>
        <w:spacing w:line="580" w:lineRule="exact"/>
        <w:rPr>
          <w:rFonts w:hint="eastAsia" w:ascii="Times New Roman" w:hAnsi="Times New Roman" w:eastAsia="仿宋_GB2312" w:cs="Times New Roman"/>
          <w:sz w:val="30"/>
          <w:szCs w:val="30"/>
          <w:u w:val="single"/>
        </w:rPr>
      </w:pPr>
    </w:p>
    <w:p>
      <w:pPr>
        <w:spacing w:line="580" w:lineRule="exact"/>
        <w:rPr>
          <w:rFonts w:hint="eastAsia" w:ascii="Times New Roman" w:hAnsi="Times New Roman" w:eastAsia="仿宋_GB2312" w:cs="Times New Roman"/>
          <w:sz w:val="30"/>
          <w:szCs w:val="30"/>
          <w:u w:val="single"/>
        </w:rPr>
      </w:pPr>
    </w:p>
    <w:p>
      <w:pPr>
        <w:spacing w:line="580" w:lineRule="exact"/>
        <w:rPr>
          <w:rFonts w:ascii="Times New Roman" w:hAnsi="Times New Roman" w:eastAsia="仿宋_GB2312" w:cs="Times New Roman"/>
          <w:sz w:val="32"/>
          <w:szCs w:val="32"/>
          <w:u w:val="single"/>
        </w:rPr>
      </w:pPr>
      <w:r>
        <w:rPr>
          <w:rFonts w:hint="eastAsia" w:ascii="Times New Roman" w:hAnsi="Times New Roman" w:eastAsia="仿宋_GB2312" w:cs="Times New Roman"/>
          <w:sz w:val="32"/>
          <w:szCs w:val="32"/>
        </w:rPr>
        <w:t>主管部门审核意见：</w:t>
      </w:r>
      <w:bookmarkStart w:id="0" w:name="_Hlk42768429"/>
      <w:r>
        <w:rPr>
          <w:rFonts w:hint="eastAsia"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u w:val="single"/>
        </w:rPr>
        <w:t xml:space="preserve"> </w:t>
      </w:r>
      <w:bookmarkEnd w:id="0"/>
    </w:p>
    <w:p>
      <w:pPr>
        <w:spacing w:line="580" w:lineRule="exact"/>
        <w:rPr>
          <w:rFonts w:ascii="Times New Roman" w:hAnsi="Times New Roman" w:eastAsia="仿宋_GB2312" w:cs="Times New Roman"/>
          <w:sz w:val="32"/>
          <w:szCs w:val="32"/>
          <w:u w:val="single"/>
        </w:rPr>
      </w:pPr>
    </w:p>
    <w:p>
      <w:pPr>
        <w:spacing w:line="580" w:lineRule="exact"/>
        <w:rPr>
          <w:rFonts w:hint="eastAsia" w:ascii="Times New Roman" w:hAnsi="Times New Roman" w:eastAsia="仿宋_GB2312" w:cs="Times New Roman"/>
          <w:sz w:val="32"/>
          <w:szCs w:val="32"/>
          <w:u w:val="single"/>
        </w:rPr>
      </w:pPr>
    </w:p>
    <w:p>
      <w:pPr>
        <w:spacing w:line="700" w:lineRule="exact"/>
        <w:rPr>
          <w:rFonts w:ascii="Times New Roman" w:hAnsi="Times New Roman" w:eastAsia="仿宋_GB2312" w:cs="Times New Roman"/>
          <w:sz w:val="32"/>
          <w:szCs w:val="32"/>
          <w:u w:val="single"/>
        </w:rPr>
      </w:pPr>
      <w:r>
        <w:rPr>
          <w:rFonts w:hint="eastAsia" w:ascii="Times New Roman" w:hAnsi="Times New Roman" w:eastAsia="仿宋_GB2312" w:cs="Times New Roman"/>
          <w:sz w:val="32"/>
          <w:szCs w:val="32"/>
        </w:rPr>
        <w:t>财政部门审核意见：</w:t>
      </w:r>
      <w:r>
        <w:rPr>
          <w:rFonts w:hint="eastAsia"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u w:val="single"/>
        </w:rPr>
        <w:t xml:space="preserve"> </w:t>
      </w:r>
    </w:p>
    <w:p>
      <w:pPr>
        <w:spacing w:line="700" w:lineRule="exact"/>
        <w:rPr>
          <w:rFonts w:hint="eastAsia" w:ascii="Times New Roman" w:hAnsi="Times New Roman" w:eastAsia="仿宋_GB2312" w:cs="Times New Roman"/>
          <w:sz w:val="32"/>
          <w:szCs w:val="32"/>
        </w:rPr>
      </w:pPr>
    </w:p>
    <w:p>
      <w:pPr>
        <w:spacing w:line="700" w:lineRule="exact"/>
        <w:jc w:val="center"/>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填报日期  </w:t>
      </w:r>
      <w:r>
        <w:rPr>
          <w:rFonts w:hint="eastAsia" w:ascii="Times New Roman" w:hAnsi="Times New Roman" w:eastAsia="仿宋_GB2312" w:cs="Times New Roman"/>
          <w:sz w:val="32"/>
          <w:szCs w:val="32"/>
          <w:lang w:val="en-US" w:eastAsia="zh-CN"/>
        </w:rPr>
        <w:t>2021</w:t>
      </w:r>
      <w:r>
        <w:rPr>
          <w:rFonts w:hint="eastAsia" w:ascii="Times New Roman" w:hAnsi="Times New Roman" w:eastAsia="仿宋_GB2312" w:cs="Times New Roman"/>
          <w:sz w:val="32"/>
          <w:szCs w:val="32"/>
        </w:rPr>
        <w:t xml:space="preserve"> 年  </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 xml:space="preserve"> 月 </w:t>
      </w:r>
      <w:r>
        <w:rPr>
          <w:rFonts w:hint="eastAsia" w:ascii="Times New Roman" w:hAnsi="Times New Roman" w:eastAsia="仿宋_GB2312" w:cs="Times New Roman"/>
          <w:sz w:val="32"/>
          <w:szCs w:val="32"/>
          <w:lang w:val="en-US" w:eastAsia="zh-CN"/>
        </w:rPr>
        <w:t>15</w:t>
      </w:r>
      <w:r>
        <w:rPr>
          <w:rFonts w:hint="eastAsia" w:ascii="Times New Roman" w:hAnsi="Times New Roman" w:eastAsia="仿宋_GB2312" w:cs="Times New Roman"/>
          <w:sz w:val="32"/>
          <w:szCs w:val="32"/>
        </w:rPr>
        <w:t xml:space="preserve"> 日</w:t>
      </w:r>
    </w:p>
    <w:p>
      <w:pPr>
        <w:spacing w:line="700" w:lineRule="exact"/>
        <w:jc w:val="center"/>
        <w:rPr>
          <w:rFonts w:hint="eastAsia" w:ascii="Times New Roman" w:hAnsi="Times New Roman" w:eastAsia="仿宋_GB2312" w:cs="Times New Roman"/>
          <w:sz w:val="30"/>
          <w:szCs w:val="24"/>
        </w:rPr>
      </w:pPr>
    </w:p>
    <w:p>
      <w:pPr>
        <w:spacing w:line="700" w:lineRule="exact"/>
        <w:jc w:val="center"/>
        <w:rPr>
          <w:rFonts w:hint="eastAsia" w:ascii="Times New Roman" w:hAnsi="Times New Roman" w:eastAsia="仿宋_GB2312" w:cs="Times New Roman"/>
          <w:sz w:val="30"/>
          <w:szCs w:val="24"/>
        </w:rPr>
      </w:pPr>
    </w:p>
    <w:p>
      <w:pPr>
        <w:spacing w:line="700" w:lineRule="exact"/>
        <w:jc w:val="center"/>
        <w:rPr>
          <w:rFonts w:hint="eastAsia" w:ascii="Times New Roman" w:hAnsi="Times New Roman" w:eastAsia="仿宋_GB2312" w:cs="Times New Roman"/>
          <w:sz w:val="30"/>
          <w:szCs w:val="24"/>
        </w:rPr>
      </w:pPr>
    </w:p>
    <w:p>
      <w:pPr>
        <w:spacing w:line="700" w:lineRule="exact"/>
        <w:jc w:val="center"/>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承德市财政局制</w:t>
      </w:r>
    </w:p>
    <w:p>
      <w:pPr>
        <w:adjustRightInd w:val="0"/>
        <w:snapToGrid w:val="0"/>
        <w:spacing w:line="560" w:lineRule="atLeast"/>
        <w:jc w:val="both"/>
        <w:rPr>
          <w:rFonts w:hint="eastAsia" w:ascii="方正小标宋简体" w:hAnsi="仿宋" w:eastAsia="方正小标宋简体" w:cs="Times New Roman"/>
          <w:b/>
          <w:kern w:val="0"/>
          <w:sz w:val="36"/>
          <w:szCs w:val="36"/>
        </w:rPr>
      </w:pPr>
    </w:p>
    <w:p>
      <w:pPr>
        <w:adjustRightInd w:val="0"/>
        <w:snapToGrid w:val="0"/>
        <w:spacing w:line="560" w:lineRule="atLeast"/>
        <w:jc w:val="center"/>
        <w:rPr>
          <w:rFonts w:hint="eastAsia" w:ascii="方正小标宋简体" w:hAnsi="仿宋" w:eastAsia="方正小标宋简体" w:cs="Times New Roman"/>
          <w:b/>
          <w:kern w:val="0"/>
          <w:sz w:val="44"/>
          <w:szCs w:val="44"/>
        </w:rPr>
        <w:sectPr>
          <w:pgSz w:w="11906" w:h="16838"/>
          <w:pgMar w:top="1440" w:right="1797" w:bottom="1440" w:left="1797" w:header="851" w:footer="992" w:gutter="0"/>
          <w:cols w:space="425" w:num="1"/>
          <w:docGrid w:type="lines" w:linePitch="312" w:charSpace="0"/>
        </w:sectPr>
      </w:pPr>
    </w:p>
    <w:p>
      <w:pPr>
        <w:adjustRightInd w:val="0"/>
        <w:snapToGrid w:val="0"/>
        <w:spacing w:line="560" w:lineRule="atLeast"/>
        <w:jc w:val="center"/>
        <w:rPr>
          <w:rFonts w:hint="eastAsia" w:ascii="方正小标宋简体" w:hAnsi="仿宋" w:eastAsia="方正小标宋简体" w:cs="Times New Roman"/>
          <w:b/>
          <w:kern w:val="0"/>
          <w:sz w:val="44"/>
          <w:szCs w:val="44"/>
        </w:rPr>
      </w:pPr>
      <w:r>
        <w:rPr>
          <w:rFonts w:hint="eastAsia" w:ascii="方正小标宋简体" w:hAnsi="仿宋" w:eastAsia="方正小标宋简体" w:cs="Times New Roman"/>
          <w:b/>
          <w:kern w:val="0"/>
          <w:sz w:val="44"/>
          <w:szCs w:val="44"/>
        </w:rPr>
        <w:t>部门整体支出绩效评价报告</w:t>
      </w:r>
    </w:p>
    <w:p>
      <w:pPr>
        <w:adjustRightInd w:val="0"/>
        <w:snapToGrid w:val="0"/>
        <w:spacing w:line="540" w:lineRule="atLeast"/>
        <w:ind w:firstLine="643" w:firstLineChars="200"/>
        <w:rPr>
          <w:rFonts w:hint="eastAsia" w:ascii="仿宋_GB2312" w:hAnsi="仿宋_GB2312" w:eastAsia="仿宋_GB2312" w:cs="仿宋_GB2312"/>
          <w:b/>
          <w:sz w:val="32"/>
          <w:szCs w:val="32"/>
        </w:rPr>
      </w:pPr>
    </w:p>
    <w:p>
      <w:pPr>
        <w:adjustRightInd w:val="0"/>
        <w:snapToGrid w:val="0"/>
        <w:spacing w:line="540" w:lineRule="atLeas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一、部门基本情况</w:t>
      </w:r>
    </w:p>
    <w:p>
      <w:pPr>
        <w:adjustRightInd w:val="0"/>
        <w:snapToGrid w:val="0"/>
        <w:spacing w:line="540" w:lineRule="atLeast"/>
        <w:ind w:firstLine="640" w:firstLineChars="200"/>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（一）部门职能与机构设置</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按照中共承德市委办公室、承德市人民政府办公室《关于印发承德市医疗保障局职能配置、内设机构和人员编制规定》（承办字[2019]15号），承德市医疗保障局主要职责是：</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lang w:eastAsia="zh-CN"/>
        </w:rPr>
        <w:t>拟</w:t>
      </w:r>
      <w:r>
        <w:rPr>
          <w:rFonts w:hint="eastAsia" w:ascii="仿宋" w:hAnsi="仿宋" w:eastAsia="仿宋" w:cs="仿宋"/>
          <w:b w:val="0"/>
          <w:bCs/>
          <w:sz w:val="32"/>
          <w:szCs w:val="32"/>
          <w:lang w:val="en-US" w:eastAsia="zh-CN"/>
        </w:rPr>
        <w:t>订</w:t>
      </w:r>
      <w:r>
        <w:rPr>
          <w:rFonts w:hint="eastAsia" w:ascii="仿宋" w:hAnsi="仿宋" w:eastAsia="仿宋" w:cs="仿宋"/>
          <w:b w:val="0"/>
          <w:bCs/>
          <w:sz w:val="32"/>
          <w:szCs w:val="32"/>
          <w:lang w:eastAsia="zh-CN"/>
        </w:rPr>
        <w:t>全市城镇职工和城乡居民医疗保险、生育保险、大病保险、医疗救助等医疗保障政策、制度、规划和标准。</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lang w:eastAsia="zh-CN"/>
        </w:rPr>
        <w:t>拟</w:t>
      </w:r>
      <w:r>
        <w:rPr>
          <w:rFonts w:hint="eastAsia" w:ascii="仿宋" w:hAnsi="仿宋" w:eastAsia="仿宋" w:cs="仿宋"/>
          <w:b w:val="0"/>
          <w:bCs/>
          <w:sz w:val="32"/>
          <w:szCs w:val="32"/>
          <w:lang w:val="en-US" w:eastAsia="zh-CN"/>
        </w:rPr>
        <w:t>订</w:t>
      </w:r>
      <w:r>
        <w:rPr>
          <w:rFonts w:hint="eastAsia" w:ascii="仿宋" w:hAnsi="仿宋" w:eastAsia="仿宋" w:cs="仿宋"/>
          <w:b w:val="0"/>
          <w:bCs/>
          <w:sz w:val="32"/>
          <w:szCs w:val="32"/>
          <w:lang w:eastAsia="zh-CN"/>
        </w:rPr>
        <w:t>完善全市医疗保障基金监督管理办法，建立健全医疗保障基金安全防控机制，组织建设智能监控平台，推进医疗保障基金支付方式改革，并组织实施。</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lang w:eastAsia="zh-CN"/>
        </w:rPr>
        <w:t>组织制定全市城镇职工、城乡居民参保筹资和保障待遇政策，统筹城乡医疗保障政策标准，建立健全与筹资水平相适应的待遇调整机制。拟</w:t>
      </w:r>
      <w:r>
        <w:rPr>
          <w:rFonts w:hint="eastAsia" w:ascii="仿宋" w:hAnsi="仿宋" w:eastAsia="仿宋" w:cs="仿宋"/>
          <w:b w:val="0"/>
          <w:bCs/>
          <w:sz w:val="32"/>
          <w:szCs w:val="32"/>
          <w:lang w:val="en-US" w:eastAsia="zh-CN"/>
        </w:rPr>
        <w:t>订</w:t>
      </w:r>
      <w:r>
        <w:rPr>
          <w:rFonts w:hint="eastAsia" w:ascii="仿宋" w:hAnsi="仿宋" w:eastAsia="仿宋" w:cs="仿宋"/>
          <w:b w:val="0"/>
          <w:bCs/>
          <w:sz w:val="32"/>
          <w:szCs w:val="32"/>
          <w:lang w:eastAsia="zh-CN"/>
        </w:rPr>
        <w:t>全市长期护理保险制度方案及政策标准并组织实施。</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lang w:eastAsia="zh-CN"/>
        </w:rPr>
        <w:t>贯彻执行全省城乡统一的药品、医用耗材、医疗服务项目、医疗服务设施等医保目录，组织制定全市统一的药品、医用耗材、医疗服务项目、医疗服务设施的医保支付标准并组织实施，建立动态调整机制。</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5、</w:t>
      </w:r>
      <w:r>
        <w:rPr>
          <w:rFonts w:hint="eastAsia" w:ascii="仿宋" w:hAnsi="仿宋" w:eastAsia="仿宋" w:cs="仿宋"/>
          <w:b w:val="0"/>
          <w:bCs/>
          <w:sz w:val="32"/>
          <w:szCs w:val="32"/>
          <w:lang w:eastAsia="zh-CN"/>
        </w:rPr>
        <w:t>贯彻落实省药品、医用耗材价格和医疗服务项目、医疗服务设施收费等政策。建立医保支付医药服务价格合理确定和动态调整机制，依法管理药品、医用耗材、医疗服务价格政策执行情况。建立完善药品、医用耗材和医疗服务价格监测信息发布制度。</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6、</w:t>
      </w:r>
      <w:r>
        <w:rPr>
          <w:rFonts w:hint="eastAsia" w:ascii="仿宋" w:hAnsi="仿宋" w:eastAsia="仿宋" w:cs="仿宋"/>
          <w:b w:val="0"/>
          <w:bCs/>
          <w:sz w:val="32"/>
          <w:szCs w:val="32"/>
          <w:lang w:eastAsia="zh-CN"/>
        </w:rPr>
        <w:t>贯彻落实省药品、医用耗材的招标采购政策并组织监督实施。</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7、</w:t>
      </w:r>
      <w:r>
        <w:rPr>
          <w:rFonts w:hint="eastAsia" w:ascii="仿宋" w:hAnsi="仿宋" w:eastAsia="仿宋" w:cs="仿宋"/>
          <w:b w:val="0"/>
          <w:bCs/>
          <w:sz w:val="32"/>
          <w:szCs w:val="32"/>
          <w:lang w:eastAsia="zh-CN"/>
        </w:rPr>
        <w:t>制定全市定点医药机构协议和支付管理办法并组织实施。建立健全医疗保障信用评价体系和信息披露制度，监督管理定点医药机构的医疗服务行为、医疗费用和医药价格，依法查处医疗保障领域违法违规行为。</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8、</w:t>
      </w:r>
      <w:r>
        <w:rPr>
          <w:rFonts w:hint="eastAsia" w:ascii="仿宋" w:hAnsi="仿宋" w:eastAsia="仿宋" w:cs="仿宋"/>
          <w:b w:val="0"/>
          <w:bCs/>
          <w:sz w:val="32"/>
          <w:szCs w:val="32"/>
          <w:lang w:eastAsia="zh-CN"/>
        </w:rPr>
        <w:t>负责医疗保障经办管理、公共服务体系和信息化建设。落实和完善异地就医管理和费用结算政策并组织实施。建立健全医疗保障关系转移接续制度。</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9、</w:t>
      </w:r>
      <w:r>
        <w:rPr>
          <w:rFonts w:hint="eastAsia" w:ascii="仿宋" w:hAnsi="仿宋" w:eastAsia="仿宋" w:cs="仿宋"/>
          <w:b w:val="0"/>
          <w:bCs/>
          <w:sz w:val="32"/>
          <w:szCs w:val="32"/>
          <w:lang w:eastAsia="zh-CN"/>
        </w:rPr>
        <w:t>完成市委、市政府交办的其他任务。</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2880" w:firstLineChars="900"/>
        <w:jc w:val="both"/>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部门机构设置情况</w:t>
      </w:r>
    </w:p>
    <w:tbl>
      <w:tblPr>
        <w:tblStyle w:val="5"/>
        <w:tblW w:w="1014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494"/>
        <w:gridCol w:w="1440"/>
        <w:gridCol w:w="1430"/>
        <w:gridCol w:w="278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12" w:hRule="atLeast"/>
          <w:tblHeader/>
          <w:jc w:val="center"/>
        </w:trPr>
        <w:tc>
          <w:tcPr>
            <w:tcW w:w="4494" w:type="dxa"/>
            <w:vMerge w:val="restart"/>
            <w:vAlign w:val="center"/>
          </w:tcPr>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单位名称</w:t>
            </w:r>
          </w:p>
        </w:tc>
        <w:tc>
          <w:tcPr>
            <w:tcW w:w="1440" w:type="dxa"/>
            <w:vMerge w:val="restart"/>
            <w:vAlign w:val="center"/>
          </w:tcPr>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单位性质</w:t>
            </w:r>
          </w:p>
        </w:tc>
        <w:tc>
          <w:tcPr>
            <w:tcW w:w="1430" w:type="dxa"/>
            <w:vMerge w:val="restart"/>
            <w:vAlign w:val="center"/>
          </w:tcPr>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单位规格</w:t>
            </w:r>
          </w:p>
        </w:tc>
        <w:tc>
          <w:tcPr>
            <w:tcW w:w="2784" w:type="dxa"/>
            <w:vMerge w:val="restart"/>
            <w:vAlign w:val="center"/>
          </w:tcPr>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12" w:hRule="atLeast"/>
          <w:tblHeader/>
          <w:jc w:val="center"/>
        </w:trPr>
        <w:tc>
          <w:tcPr>
            <w:tcW w:w="4494"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outlineLvl w:val="0"/>
              <w:rPr>
                <w:rFonts w:hint="eastAsia" w:ascii="仿宋" w:hAnsi="仿宋" w:eastAsia="仿宋" w:cs="仿宋"/>
                <w:b w:val="0"/>
                <w:bCs/>
                <w:kern w:val="2"/>
                <w:sz w:val="28"/>
                <w:szCs w:val="28"/>
                <w:lang w:val="en-US" w:eastAsia="zh-CN" w:bidi="ar-SA"/>
              </w:rPr>
            </w:pPr>
          </w:p>
        </w:tc>
        <w:tc>
          <w:tcPr>
            <w:tcW w:w="1440"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outlineLvl w:val="0"/>
              <w:rPr>
                <w:rFonts w:hint="eastAsia" w:ascii="仿宋" w:hAnsi="仿宋" w:eastAsia="仿宋" w:cs="仿宋"/>
                <w:b w:val="0"/>
                <w:bCs/>
                <w:kern w:val="2"/>
                <w:sz w:val="28"/>
                <w:szCs w:val="28"/>
                <w:lang w:val="en-US" w:eastAsia="zh-CN" w:bidi="ar-SA"/>
              </w:rPr>
            </w:pPr>
          </w:p>
        </w:tc>
        <w:tc>
          <w:tcPr>
            <w:tcW w:w="1430"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outlineLvl w:val="0"/>
              <w:rPr>
                <w:rFonts w:hint="eastAsia" w:ascii="仿宋" w:hAnsi="仿宋" w:eastAsia="仿宋" w:cs="仿宋"/>
                <w:b w:val="0"/>
                <w:bCs/>
                <w:kern w:val="2"/>
                <w:sz w:val="28"/>
                <w:szCs w:val="28"/>
                <w:lang w:val="en-US" w:eastAsia="zh-CN" w:bidi="ar-SA"/>
              </w:rPr>
            </w:pPr>
          </w:p>
        </w:tc>
        <w:tc>
          <w:tcPr>
            <w:tcW w:w="2784"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outlineLvl w:val="0"/>
              <w:rPr>
                <w:rFonts w:hint="eastAsia" w:ascii="仿宋" w:hAnsi="仿宋" w:eastAsia="仿宋" w:cs="仿宋"/>
                <w:b w:val="0"/>
                <w:bCs/>
                <w:kern w:val="2"/>
                <w:sz w:val="28"/>
                <w:szCs w:val="28"/>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4494"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承德市医疗保障局（本级）</w:t>
            </w: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行政</w:t>
            </w:r>
          </w:p>
        </w:tc>
        <w:tc>
          <w:tcPr>
            <w:tcW w:w="1430"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正处级</w:t>
            </w:r>
          </w:p>
        </w:tc>
        <w:tc>
          <w:tcPr>
            <w:tcW w:w="2784"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4494"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承德市医疗保险基金管理结算中心</w:t>
            </w:r>
          </w:p>
        </w:tc>
        <w:tc>
          <w:tcPr>
            <w:tcW w:w="144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事业</w:t>
            </w:r>
          </w:p>
        </w:tc>
        <w:tc>
          <w:tcPr>
            <w:tcW w:w="143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正科级</w:t>
            </w:r>
          </w:p>
        </w:tc>
        <w:tc>
          <w:tcPr>
            <w:tcW w:w="2784"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4494"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承德市城乡居民基本医疗保险基金管理结算中心</w:t>
            </w:r>
          </w:p>
        </w:tc>
        <w:tc>
          <w:tcPr>
            <w:tcW w:w="144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事业</w:t>
            </w:r>
          </w:p>
        </w:tc>
        <w:tc>
          <w:tcPr>
            <w:tcW w:w="143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正科级</w:t>
            </w:r>
          </w:p>
        </w:tc>
        <w:tc>
          <w:tcPr>
            <w:tcW w:w="2784"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4494"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承德市医疗保险基金管理结算中心承钢办事处</w:t>
            </w:r>
          </w:p>
        </w:tc>
        <w:tc>
          <w:tcPr>
            <w:tcW w:w="144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事业</w:t>
            </w:r>
          </w:p>
        </w:tc>
        <w:tc>
          <w:tcPr>
            <w:tcW w:w="143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正科级</w:t>
            </w:r>
          </w:p>
        </w:tc>
        <w:tc>
          <w:tcPr>
            <w:tcW w:w="2784"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4494"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承德市医疗保险基金复核中心</w:t>
            </w:r>
          </w:p>
        </w:tc>
        <w:tc>
          <w:tcPr>
            <w:tcW w:w="144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事业</w:t>
            </w:r>
          </w:p>
        </w:tc>
        <w:tc>
          <w:tcPr>
            <w:tcW w:w="143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正科级</w:t>
            </w:r>
          </w:p>
        </w:tc>
        <w:tc>
          <w:tcPr>
            <w:tcW w:w="2784"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4494"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承德市医用药品器械集中采购中心</w:t>
            </w:r>
          </w:p>
        </w:tc>
        <w:tc>
          <w:tcPr>
            <w:tcW w:w="144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事业</w:t>
            </w:r>
          </w:p>
        </w:tc>
        <w:tc>
          <w:tcPr>
            <w:tcW w:w="1430"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正科级</w:t>
            </w:r>
          </w:p>
        </w:tc>
        <w:tc>
          <w:tcPr>
            <w:tcW w:w="2784" w:type="dxa"/>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财政性资金基本保障</w:t>
            </w:r>
          </w:p>
        </w:tc>
      </w:tr>
    </w:tbl>
    <w:p>
      <w:pPr>
        <w:numPr>
          <w:ilvl w:val="0"/>
          <w:numId w:val="0"/>
        </w:numPr>
        <w:adjustRightInd w:val="0"/>
        <w:snapToGrid w:val="0"/>
        <w:spacing w:line="540" w:lineRule="atLeast"/>
        <w:ind w:firstLine="643" w:firstLineChars="200"/>
        <w:rPr>
          <w:rFonts w:hint="eastAsia" w:ascii="仿宋" w:hAnsi="仿宋" w:eastAsia="仿宋" w:cs="仿宋"/>
          <w:b w:val="0"/>
          <w:bCs/>
          <w:color w:val="auto"/>
          <w:kern w:val="2"/>
          <w:sz w:val="32"/>
          <w:szCs w:val="32"/>
          <w:lang w:val="en-US" w:eastAsia="zh-CN" w:bidi="ar-SA"/>
        </w:rPr>
      </w:pPr>
      <w:r>
        <w:rPr>
          <w:rFonts w:hint="eastAsia" w:ascii="仿宋" w:hAnsi="仿宋" w:eastAsia="仿宋" w:cs="仿宋"/>
          <w:b/>
          <w:bCs w:val="0"/>
          <w:color w:val="auto"/>
          <w:kern w:val="2"/>
          <w:sz w:val="32"/>
          <w:szCs w:val="32"/>
          <w:lang w:val="en-US" w:eastAsia="zh-CN" w:bidi="ar-SA"/>
        </w:rPr>
        <w:t>（二）人员情况</w:t>
      </w:r>
      <w:r>
        <w:rPr>
          <w:rFonts w:hint="eastAsia" w:ascii="仿宋" w:hAnsi="仿宋" w:eastAsia="仿宋" w:cs="仿宋"/>
          <w:b w:val="0"/>
          <w:bCs/>
          <w:color w:val="auto"/>
          <w:kern w:val="2"/>
          <w:sz w:val="32"/>
          <w:szCs w:val="32"/>
          <w:lang w:val="en-US" w:eastAsia="zh-CN" w:bidi="ar-SA"/>
        </w:rPr>
        <w:t xml:space="preserve"> </w:t>
      </w:r>
    </w:p>
    <w:p>
      <w:pPr>
        <w:numPr>
          <w:ilvl w:val="0"/>
          <w:numId w:val="0"/>
        </w:numPr>
        <w:adjustRightInd w:val="0"/>
        <w:snapToGrid w:val="0"/>
        <w:spacing w:line="540" w:lineRule="atLeast"/>
        <w:ind w:firstLine="640" w:firstLineChars="200"/>
        <w:rPr>
          <w:rFonts w:hint="eastAsia" w:ascii="仿宋" w:hAnsi="仿宋" w:eastAsia="仿宋" w:cs="仿宋"/>
          <w:b w:val="0"/>
          <w:bCs/>
          <w:color w:val="auto"/>
          <w:kern w:val="2"/>
          <w:sz w:val="32"/>
          <w:szCs w:val="32"/>
          <w:lang w:val="en-US" w:eastAsia="zh-CN" w:bidi="ar-SA"/>
        </w:rPr>
      </w:pPr>
      <w:r>
        <w:rPr>
          <w:rFonts w:hint="eastAsia" w:ascii="仿宋" w:hAnsi="仿宋" w:eastAsia="仿宋" w:cs="仿宋"/>
          <w:b w:val="0"/>
          <w:bCs/>
          <w:color w:val="auto"/>
          <w:kern w:val="2"/>
          <w:sz w:val="32"/>
          <w:szCs w:val="32"/>
          <w:lang w:val="en-US" w:eastAsia="zh-CN" w:bidi="ar-SA"/>
        </w:rPr>
        <w:t>全局编制数共81人，其中行政编制15人，事业编制66人；实有人数101人，其中：行政人员16人，事业在职55人，财政聘用人员30人（不在编）。</w:t>
      </w:r>
      <w:r>
        <w:rPr>
          <w:rFonts w:hint="eastAsia" w:ascii="仿宋" w:hAnsi="仿宋" w:eastAsia="仿宋" w:cs="仿宋"/>
          <w:b w:val="0"/>
          <w:bCs/>
          <w:color w:val="auto"/>
          <w:kern w:val="2"/>
          <w:sz w:val="32"/>
          <w:szCs w:val="32"/>
          <w:lang w:val="en-US" w:eastAsia="zh-CN" w:bidi="ar-SA"/>
        </w:rPr>
        <w:t xml:space="preserve"> </w:t>
      </w:r>
    </w:p>
    <w:p>
      <w:pPr>
        <w:numPr>
          <w:ilvl w:val="0"/>
          <w:numId w:val="1"/>
        </w:numPr>
        <w:adjustRightInd w:val="0"/>
        <w:snapToGrid w:val="0"/>
        <w:spacing w:line="540" w:lineRule="atLeast"/>
        <w:ind w:firstLine="643" w:firstLineChars="200"/>
        <w:rPr>
          <w:rFonts w:hint="eastAsia" w:ascii="仿宋" w:hAnsi="仿宋" w:eastAsia="仿宋" w:cs="仿宋"/>
          <w:b/>
          <w:bCs w:val="0"/>
          <w:color w:val="auto"/>
          <w:kern w:val="2"/>
          <w:sz w:val="32"/>
          <w:szCs w:val="32"/>
          <w:lang w:val="en-US" w:eastAsia="zh-CN" w:bidi="ar-SA"/>
        </w:rPr>
      </w:pPr>
      <w:r>
        <w:rPr>
          <w:rFonts w:hint="eastAsia" w:ascii="仿宋" w:hAnsi="仿宋" w:eastAsia="仿宋" w:cs="仿宋"/>
          <w:b/>
          <w:bCs w:val="0"/>
          <w:color w:val="auto"/>
          <w:kern w:val="2"/>
          <w:sz w:val="32"/>
          <w:szCs w:val="32"/>
          <w:lang w:val="en-US" w:eastAsia="zh-CN" w:bidi="ar-SA"/>
        </w:rPr>
        <w:t>部门年度决算整体收支及使用情况</w:t>
      </w:r>
    </w:p>
    <w:p>
      <w:pPr>
        <w:adjustRightInd w:val="0"/>
        <w:snapToGrid w:val="0"/>
        <w:spacing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color w:val="auto"/>
          <w:sz w:val="32"/>
          <w:szCs w:val="32"/>
        </w:rPr>
        <w:t>本部门20</w:t>
      </w:r>
      <w:r>
        <w:rPr>
          <w:rFonts w:hint="eastAsia" w:ascii="仿宋" w:hAnsi="仿宋" w:eastAsia="仿宋" w:cs="仿宋"/>
          <w:color w:val="auto"/>
          <w:sz w:val="32"/>
          <w:szCs w:val="32"/>
          <w:lang w:val="en-US" w:eastAsia="zh-CN"/>
        </w:rPr>
        <w:t>20</w:t>
      </w:r>
      <w:r>
        <w:rPr>
          <w:rFonts w:hint="eastAsia" w:ascii="仿宋" w:hAnsi="仿宋" w:eastAsia="仿宋" w:cs="仿宋"/>
          <w:color w:val="auto"/>
          <w:sz w:val="32"/>
          <w:szCs w:val="32"/>
        </w:rPr>
        <w:t>年度</w:t>
      </w:r>
      <w:r>
        <w:rPr>
          <w:rFonts w:hint="eastAsia" w:ascii="仿宋" w:hAnsi="仿宋" w:eastAsia="仿宋" w:cs="仿宋"/>
          <w:color w:val="auto"/>
          <w:sz w:val="32"/>
          <w:szCs w:val="32"/>
          <w:lang w:val="en-US" w:eastAsia="zh-CN"/>
        </w:rPr>
        <w:t>年初结转和结余96万元，本年收入2670.81万元，本年支出2370.92万元，年末结转和结余395.89万元。</w:t>
      </w:r>
    </w:p>
    <w:p>
      <w:pPr>
        <w:numPr>
          <w:ilvl w:val="0"/>
          <w:numId w:val="2"/>
        </w:numPr>
        <w:adjustRightInd w:val="0"/>
        <w:snapToGrid w:val="0"/>
        <w:spacing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决算基本支出情况。2020年度决算基本支出1254.39万元，其中：人员支出856.36万元，日常公用经费支出398.03万元。</w:t>
      </w:r>
    </w:p>
    <w:p>
      <w:pPr>
        <w:numPr>
          <w:ilvl w:val="0"/>
          <w:numId w:val="2"/>
        </w:numPr>
        <w:adjustRightInd w:val="0"/>
        <w:snapToGrid w:val="0"/>
        <w:spacing w:line="58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sz w:val="32"/>
          <w:szCs w:val="32"/>
          <w:lang w:val="en-US" w:eastAsia="zh-CN"/>
        </w:rPr>
        <w:t>“三公”经费使用情况。“三公”经费严格按照财政要求从严管理、从严控制、规范报账。</w:t>
      </w:r>
      <w:r>
        <w:rPr>
          <w:rFonts w:hint="eastAsia" w:ascii="仿宋" w:hAnsi="仿宋" w:eastAsia="仿宋" w:cs="仿宋"/>
          <w:sz w:val="32"/>
          <w:szCs w:val="32"/>
        </w:rPr>
        <w:t>部门</w:t>
      </w:r>
      <w:r>
        <w:rPr>
          <w:rFonts w:hint="eastAsia" w:ascii="仿宋" w:hAnsi="仿宋" w:eastAsia="仿宋" w:cs="仿宋"/>
          <w:sz w:val="32"/>
          <w:szCs w:val="32"/>
          <w:lang w:val="en-US" w:eastAsia="zh-CN"/>
        </w:rPr>
        <w:t>2020</w:t>
      </w:r>
      <w:r>
        <w:rPr>
          <w:rFonts w:hint="eastAsia" w:ascii="仿宋" w:hAnsi="仿宋" w:eastAsia="仿宋" w:cs="仿宋"/>
          <w:sz w:val="32"/>
          <w:szCs w:val="32"/>
        </w:rPr>
        <w:t>年度“三公”经费支出共计</w:t>
      </w:r>
      <w:r>
        <w:rPr>
          <w:rFonts w:hint="eastAsia" w:ascii="仿宋" w:hAnsi="仿宋" w:eastAsia="仿宋" w:cs="仿宋"/>
          <w:sz w:val="32"/>
          <w:szCs w:val="32"/>
          <w:lang w:val="en-US" w:eastAsia="zh-CN"/>
        </w:rPr>
        <w:t>1.13</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其中</w:t>
      </w:r>
      <w:r>
        <w:rPr>
          <w:rFonts w:hint="eastAsia" w:ascii="仿宋" w:hAnsi="仿宋" w:eastAsia="仿宋" w:cs="仿宋"/>
          <w:sz w:val="32"/>
          <w:szCs w:val="32"/>
        </w:rPr>
        <w:t>因公出国（境）费支出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公务用车购置及运行维护费支出</w:t>
      </w:r>
      <w:r>
        <w:rPr>
          <w:rFonts w:hint="eastAsia" w:ascii="仿宋" w:hAnsi="仿宋" w:eastAsia="仿宋" w:cs="仿宋"/>
          <w:sz w:val="32"/>
          <w:szCs w:val="32"/>
          <w:lang w:val="en-US" w:eastAsia="zh-CN"/>
        </w:rPr>
        <w:t>1.13</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公务接待费支出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adjustRightInd w:val="0"/>
        <w:snapToGrid w:val="0"/>
        <w:spacing w:line="58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sz w:val="32"/>
          <w:szCs w:val="32"/>
          <w:lang w:val="en-US" w:eastAsia="zh-CN"/>
        </w:rPr>
        <w:t>三、预算项目支出情况。2020年项目支出</w:t>
      </w:r>
      <w:r>
        <w:rPr>
          <w:rFonts w:hint="eastAsia" w:ascii="仿宋" w:hAnsi="仿宋" w:eastAsia="仿宋" w:cs="仿宋"/>
          <w:color w:val="auto"/>
          <w:sz w:val="32"/>
          <w:szCs w:val="32"/>
          <w:lang w:val="en-US" w:eastAsia="zh-CN"/>
        </w:rPr>
        <w:t>1116.53万元，项目资金用于医保相关工作的开展，保证了既定工作任务的完成。</w:t>
      </w:r>
    </w:p>
    <w:p>
      <w:pPr>
        <w:adjustRightInd w:val="0"/>
        <w:snapToGrid w:val="0"/>
        <w:spacing w:line="58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四、固定资产采购情况。</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年度政府采购支出总额</w:t>
      </w:r>
      <w:r>
        <w:rPr>
          <w:rFonts w:hint="eastAsia" w:ascii="仿宋" w:hAnsi="仿宋" w:eastAsia="仿宋" w:cs="仿宋"/>
          <w:sz w:val="32"/>
          <w:szCs w:val="32"/>
          <w:lang w:val="en-US" w:eastAsia="zh-CN"/>
        </w:rPr>
        <w:t>536.91</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color w:val="auto"/>
          <w:sz w:val="32"/>
          <w:szCs w:val="32"/>
          <w:lang w:val="en-US" w:eastAsia="zh-CN"/>
        </w:rPr>
        <w:t>按照财政要求，对2020年底的资产逐一登记，并录入资产管理系统，为今后资产有效规范管理打下良好基础。</w:t>
      </w:r>
    </w:p>
    <w:p>
      <w:pPr>
        <w:numPr>
          <w:ilvl w:val="0"/>
          <w:numId w:val="1"/>
        </w:numPr>
        <w:adjustRightInd w:val="0"/>
        <w:snapToGrid w:val="0"/>
        <w:spacing w:line="540" w:lineRule="atLeast"/>
        <w:ind w:left="0" w:leftChars="0" w:firstLine="643" w:firstLineChars="200"/>
        <w:rPr>
          <w:rFonts w:hint="eastAsia" w:ascii="仿宋_GB2312" w:hAnsi="仿宋_GB2312" w:eastAsia="仿宋_GB2312" w:cs="仿宋_GB2312"/>
          <w:b/>
          <w:bCs w:val="0"/>
          <w:kern w:val="2"/>
          <w:sz w:val="32"/>
          <w:szCs w:val="32"/>
          <w:lang w:val="en-US" w:eastAsia="zh-CN" w:bidi="ar-SA"/>
        </w:rPr>
      </w:pPr>
      <w:r>
        <w:rPr>
          <w:rFonts w:hint="eastAsia" w:ascii="仿宋_GB2312" w:hAnsi="仿宋_GB2312" w:eastAsia="仿宋_GB2312" w:cs="仿宋_GB2312"/>
          <w:b/>
          <w:bCs w:val="0"/>
          <w:kern w:val="2"/>
          <w:sz w:val="32"/>
          <w:szCs w:val="32"/>
          <w:lang w:val="en-US" w:eastAsia="zh-CN" w:bidi="ar-SA"/>
        </w:rPr>
        <w:t>部门（单位）主要履职情况</w:t>
      </w:r>
    </w:p>
    <w:p>
      <w:pPr>
        <w:adjustRightInd w:val="0"/>
        <w:snapToGrid w:val="0"/>
        <w:spacing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2020年全面落实市委、市政府决策部署，坚持问题导向和结果导向，聚焦重点、靶向发力、攻坚克难，全市医疗保障事业取得新成绩。</w:t>
      </w:r>
    </w:p>
    <w:p>
      <w:pPr>
        <w:spacing w:line="560" w:lineRule="exact"/>
        <w:ind w:firstLine="640"/>
        <w:rPr>
          <w:rFonts w:ascii="仿宋" w:hAnsi="仿宋" w:eastAsia="仿宋" w:cs="仿宋_GB2312"/>
          <w:sz w:val="32"/>
          <w:szCs w:val="32"/>
        </w:rPr>
      </w:pPr>
      <w:r>
        <w:rPr>
          <w:rFonts w:hint="eastAsia" w:ascii="黑体" w:hAnsi="黑体" w:eastAsia="黑体" w:cs="仿宋_GB2312"/>
          <w:sz w:val="32"/>
          <w:szCs w:val="32"/>
        </w:rPr>
        <w:t>做好两项顶层设计。</w:t>
      </w:r>
      <w:r>
        <w:rPr>
          <w:rFonts w:hint="eastAsia" w:ascii="楷体" w:hAnsi="楷体" w:eastAsia="楷体" w:cs="仿宋_GB2312"/>
          <w:sz w:val="32"/>
          <w:szCs w:val="32"/>
        </w:rPr>
        <w:t>一是居民医保市级统筹准备工作落地落实。</w:t>
      </w:r>
      <w:r>
        <w:rPr>
          <w:rFonts w:hint="eastAsia" w:ascii="仿宋" w:hAnsi="仿宋" w:eastAsia="仿宋" w:cs="宋体"/>
          <w:color w:val="000000"/>
          <w:kern w:val="0"/>
          <w:sz w:val="32"/>
          <w:szCs w:val="32"/>
        </w:rPr>
        <w:t>按照国家、省工作部署，经市政府审议并省局批复同意，出台了《承德市进一步完善城乡居民基本医疗保险市级统筹工作实施方案》和《承德市进一步完善城乡居民基本医疗保险市级统筹管理办法》及三个配套办法，明确建立“六统一”的城乡居民医保市级统筹管理体制。对统筹实施前过渡期工作做了系统安排</w:t>
      </w:r>
      <w:r>
        <w:rPr>
          <w:rFonts w:hint="eastAsia" w:ascii="仿宋" w:hAnsi="仿宋" w:eastAsia="仿宋"/>
          <w:bCs/>
          <w:sz w:val="32"/>
          <w:szCs w:val="32"/>
        </w:rPr>
        <w:t>，</w:t>
      </w:r>
      <w:r>
        <w:rPr>
          <w:rFonts w:hint="eastAsia" w:ascii="仿宋" w:hAnsi="仿宋" w:eastAsia="仿宋"/>
          <w:sz w:val="32"/>
          <w:szCs w:val="32"/>
        </w:rPr>
        <w:t>开展了基金欠费清缴、应支付基金拨付及市级统筹工作政策业务培训等，目前正在配合市审计局对市县两级居民医保基金进行审计，力争全部工作在年底前完成，确保明年1月1日顺利实施市级统筹。</w:t>
      </w:r>
      <w:r>
        <w:rPr>
          <w:rFonts w:hint="eastAsia" w:ascii="楷体" w:hAnsi="楷体" w:eastAsia="楷体" w:cs="仿宋_GB2312"/>
          <w:sz w:val="32"/>
          <w:szCs w:val="32"/>
        </w:rPr>
        <w:t>二是深化医疗保障制度改革实施意见审议通过。</w:t>
      </w:r>
      <w:r>
        <w:rPr>
          <w:rFonts w:hint="eastAsia" w:ascii="仿宋" w:hAnsi="仿宋" w:eastAsia="仿宋" w:cs="仿宋_GB2312"/>
          <w:sz w:val="32"/>
          <w:szCs w:val="32"/>
        </w:rPr>
        <w:t>落实市委市政府工作部署，依据中央和省关于深化医疗保障制度改革文件精神，结合全市医保事业发展实际，起草的我市《关于深化医疗保障制度改革的实施意见》，已经市政府常务会议、市委深改委会议审议通过并印发实施。《实施意见》作为当前和今后很长一段时间指导全市医疗保障改革工作的纲领性文件，将为全市医疗保障事业健康发展提供行动指南和实施路径。</w:t>
      </w:r>
    </w:p>
    <w:p>
      <w:pPr>
        <w:spacing w:line="580" w:lineRule="exact"/>
        <w:ind w:firstLine="640" w:firstLineChars="200"/>
        <w:rPr>
          <w:rFonts w:ascii="仿宋_GB2312" w:eastAsia="仿宋_GB2312"/>
          <w:sz w:val="32"/>
          <w:szCs w:val="32"/>
        </w:rPr>
      </w:pPr>
      <w:r>
        <w:rPr>
          <w:rFonts w:hint="eastAsia" w:ascii="黑体" w:hAnsi="黑体" w:eastAsia="黑体" w:cs="仿宋_GB2312"/>
          <w:sz w:val="32"/>
          <w:szCs w:val="32"/>
        </w:rPr>
        <w:t>实现三方面稳定。</w:t>
      </w:r>
      <w:r>
        <w:rPr>
          <w:rFonts w:hint="eastAsia" w:ascii="楷体" w:hAnsi="楷体" w:eastAsia="楷体" w:cs="仿宋_GB2312"/>
          <w:sz w:val="32"/>
          <w:szCs w:val="32"/>
        </w:rPr>
        <w:t>一是医保基金运行稳定。</w:t>
      </w:r>
      <w:r>
        <w:rPr>
          <w:rFonts w:hint="eastAsia" w:ascii="仿宋" w:hAnsi="仿宋" w:eastAsia="仿宋" w:cs="仿宋_GB2312"/>
          <w:sz w:val="32"/>
          <w:szCs w:val="32"/>
        </w:rPr>
        <w:t>2020年度全市医疗保险参保337.3万人，参保覆盖率95.82%。基金征缴收入37.07亿元，其中职工医保收入10.78亿元，完成预算计划的90.16%（政策性减征和部分财政供养人员医疗费用未到位）；居民医保及医疗救助收入26.29亿元，完成预算计划的86.39%（上级财政补助和医疗救助资金未全部拨付到位）。截至目前基金支出30.38亿元，其中职工医保支出8.25亿元，完成预算支出计划的69.98%；居民医保支出16.53亿元，完成基金预算支出计划的67.74%，医疗救助资金支出5.6亿元，按当前基金支出分析预测，年内能够实现职工、居民医保基金双结余</w:t>
      </w:r>
      <w:r>
        <w:rPr>
          <w:rFonts w:hint="eastAsia" w:ascii="仿宋" w:hAnsi="仿宋" w:eastAsia="仿宋"/>
          <w:bCs/>
          <w:sz w:val="32"/>
          <w:szCs w:val="32"/>
        </w:rPr>
        <w:t>。</w:t>
      </w:r>
      <w:r>
        <w:rPr>
          <w:rFonts w:hint="eastAsia" w:ascii="楷体" w:hAnsi="楷体" w:eastAsia="楷体"/>
          <w:bCs/>
          <w:sz w:val="32"/>
          <w:szCs w:val="32"/>
        </w:rPr>
        <w:t>二是</w:t>
      </w:r>
      <w:r>
        <w:rPr>
          <w:rFonts w:hint="eastAsia" w:ascii="楷体" w:hAnsi="楷体" w:eastAsia="楷体" w:cs="仿宋_GB2312"/>
          <w:sz w:val="32"/>
          <w:szCs w:val="32"/>
        </w:rPr>
        <w:t>扶贫政策贯彻执行稳定。</w:t>
      </w:r>
      <w:r>
        <w:rPr>
          <w:rFonts w:hint="eastAsia" w:ascii="仿宋" w:hAnsi="仿宋" w:eastAsia="仿宋"/>
          <w:sz w:val="32"/>
          <w:szCs w:val="32"/>
        </w:rPr>
        <w:t>全市经扶贫部门认定并过单的46.14万建档立卡贫困人口全部纳入基本医疗、大病保险、医疗救助三重保障范围，落实个人缴费资助1.15亿元，参保率和个人缴费资助率均达到100%。截至目前，为143.42万人次落实医疗保障扶贫政策待遇2.42亿元，贫困人口看病就医负担进一步减轻。建立防返贫预警机制，重点监测建档立卡贫人口和脱贫监测户的医疗负担情况。</w:t>
      </w:r>
      <w:r>
        <w:rPr>
          <w:rFonts w:hint="eastAsia" w:ascii="楷体" w:hAnsi="楷体" w:eastAsia="楷体"/>
          <w:sz w:val="32"/>
          <w:szCs w:val="32"/>
        </w:rPr>
        <w:t>三是</w:t>
      </w:r>
      <w:r>
        <w:rPr>
          <w:rFonts w:hint="eastAsia" w:ascii="楷体" w:hAnsi="楷体" w:eastAsia="楷体" w:cs="仿宋_GB2312"/>
          <w:sz w:val="32"/>
          <w:szCs w:val="32"/>
        </w:rPr>
        <w:t>“四医联动”改革推进稳定。</w:t>
      </w:r>
      <w:r>
        <w:rPr>
          <w:rFonts w:hint="eastAsia" w:ascii="仿宋" w:hAnsi="仿宋" w:eastAsia="仿宋" w:cs="仿宋"/>
          <w:sz w:val="32"/>
          <w:szCs w:val="32"/>
        </w:rPr>
        <w:t>与卫健部门、医联体牵头医院配合，对服务人群数据进行核实锁定和费用测算， 8家城市（县域）医联体打包支付改革任务圆满完成。及时测试、修改医保与定点医疗机构的His系统，市本级8家医疗机构100种病种，各县（市、区）18家定点医疗机构50种病种，顺利实现按病种付费结算。建立预付周转金制度，持续扩大异地就医直接结算定点医疗机构范围和京津承定点医疗机构互认，京津一批特色医院（北京、天津各15家）纳入我市医保定点医疗机构范围，实行同城化管理。推动我市承德医学院附属医院、承德市中心医院、承德市中医院纳入京津冀跨省异地就医门诊费用直接结算定点医疗机构范围，7月1日起正式实现定点医疗机构就医门诊费用直接结算。</w:t>
      </w:r>
      <w:r>
        <w:rPr>
          <w:rFonts w:hint="eastAsia" w:ascii="仿宋" w:hAnsi="仿宋" w:eastAsia="仿宋"/>
          <w:sz w:val="32"/>
          <w:szCs w:val="32"/>
        </w:rPr>
        <w:t>跟进落实全省城乡居民“两病”门诊用药集中采购、国家第二批药品集中采购、国家第一批药品集中采购中选药品续约和国家第三批药品集中采购报量工作，组织开展了三明联盟非一致性药品集中采购，将很多质优价廉的药品纳入了集中采购范围，全市患者药费负担显著降低。截止目前，全市390个采购用户（公立医疗机构296家、社会办医疗机构43家，零售药店51家）全部参加药品集中采购，共采购77种123个品规药品，累计采购金额7211万元，每批次药品平均降价幅度均达到50%以上，有效降低了患者药费负担。</w:t>
      </w:r>
    </w:p>
    <w:p>
      <w:pPr>
        <w:ind w:firstLine="640" w:firstLineChars="200"/>
        <w:rPr>
          <w:rFonts w:ascii="仿宋" w:hAnsi="仿宋" w:eastAsia="仿宋" w:cs="仿宋"/>
          <w:sz w:val="32"/>
          <w:szCs w:val="32"/>
        </w:rPr>
      </w:pPr>
      <w:r>
        <w:rPr>
          <w:rFonts w:hint="eastAsia" w:ascii="黑体" w:hAnsi="黑体" w:eastAsia="黑体" w:cs="仿宋_GB2312"/>
          <w:sz w:val="32"/>
          <w:szCs w:val="32"/>
        </w:rPr>
        <w:t>抓实四方面提升。</w:t>
      </w:r>
      <w:r>
        <w:rPr>
          <w:rFonts w:hint="eastAsia" w:ascii="楷体" w:hAnsi="楷体" w:eastAsia="楷体" w:cs="仿宋_GB2312"/>
          <w:sz w:val="32"/>
          <w:szCs w:val="32"/>
        </w:rPr>
        <w:t>一是惠民惠企力度提升。</w:t>
      </w:r>
      <w:r>
        <w:rPr>
          <w:rFonts w:hint="eastAsia" w:ascii="仿宋" w:hAnsi="仿宋" w:eastAsia="仿宋" w:cs="仿宋_GB2312"/>
          <w:sz w:val="32"/>
          <w:szCs w:val="32"/>
        </w:rPr>
        <w:t>坚定落实国家疫情防控工作部署，建立医保基金预付制度，向全市定点救治医疗机构拨付资金445万元；</w:t>
      </w:r>
      <w:r>
        <w:rPr>
          <w:rFonts w:hint="eastAsia" w:ascii="仿宋" w:hAnsi="仿宋" w:eastAsia="仿宋" w:cs="仿宋"/>
          <w:sz w:val="32"/>
          <w:szCs w:val="32"/>
        </w:rPr>
        <w:t>为全市8名确诊患者和7名疑似患者，报销医保费用16.51万元；</w:t>
      </w:r>
      <w:r>
        <w:rPr>
          <w:rFonts w:hint="eastAsia" w:ascii="仿宋_GB2312" w:eastAsia="仿宋_GB2312" w:cs="仿宋" w:hAnsiTheme="minorEastAsia"/>
          <w:spacing w:val="8"/>
          <w:sz w:val="32"/>
          <w:szCs w:val="32"/>
          <w:shd w:val="clear" w:color="auto" w:fill="FFFFFF"/>
        </w:rPr>
        <w:t>为5103家企业落实医疗保险减免政策，减免金额1.5亿元，</w:t>
      </w:r>
      <w:r>
        <w:rPr>
          <w:rFonts w:hint="eastAsia" w:ascii="仿宋_GB2312" w:eastAsia="仿宋_GB2312" w:cs="宋体" w:hAnsiTheme="majorEastAsia"/>
          <w:color w:val="000000"/>
          <w:kern w:val="0"/>
          <w:sz w:val="32"/>
          <w:szCs w:val="32"/>
        </w:rPr>
        <w:t>切实减轻了企业负担</w:t>
      </w:r>
      <w:r>
        <w:rPr>
          <w:rFonts w:hint="eastAsia" w:ascii="仿宋_GB2312" w:eastAsia="仿宋_GB2312" w:cs="仿宋" w:hAnsiTheme="minorEastAsia"/>
          <w:spacing w:val="8"/>
          <w:sz w:val="32"/>
          <w:szCs w:val="32"/>
          <w:shd w:val="clear" w:color="auto" w:fill="FFFFFF"/>
        </w:rPr>
        <w:t>。</w:t>
      </w:r>
      <w:r>
        <w:rPr>
          <w:rFonts w:hint="eastAsia" w:ascii="仿宋_GB2312" w:eastAsia="仿宋_GB2312" w:cs="宋体" w:hAnsiTheme="majorEastAsia"/>
          <w:color w:val="000000"/>
          <w:kern w:val="0"/>
          <w:sz w:val="32"/>
          <w:szCs w:val="32"/>
        </w:rPr>
        <w:t>全面推开长期护理保险业务，实现城镇职工医保参保人员全覆盖。截至目前，共确定定点护理服务机构33家，设立床位855张。全市长期护理保险参保</w:t>
      </w:r>
      <w:r>
        <w:rPr>
          <w:rFonts w:hint="eastAsia" w:cs="宋体" w:asciiTheme="minorEastAsia" w:hAnsiTheme="minorEastAsia"/>
          <w:kern w:val="0"/>
          <w:sz w:val="32"/>
          <w:szCs w:val="32"/>
        </w:rPr>
        <w:t>47.65</w:t>
      </w:r>
      <w:r>
        <w:rPr>
          <w:rFonts w:hint="eastAsia" w:ascii="仿宋_GB2312" w:eastAsia="仿宋_GB2312" w:cs="宋体" w:hAnsiTheme="majorEastAsia"/>
          <w:color w:val="000000"/>
          <w:kern w:val="0"/>
          <w:sz w:val="32"/>
          <w:szCs w:val="32"/>
        </w:rPr>
        <w:t>万人，累计征缴长期护理保险基金1.48亿元，已有1931人申报并享受长期护理保险待遇，支出长期护理保险基金2521.77万元</w:t>
      </w:r>
      <w:r>
        <w:rPr>
          <w:rFonts w:hint="eastAsia" w:ascii="仿宋_GB2312" w:hAnsi="宋体" w:eastAsia="仿宋_GB2312" w:cs="宋体"/>
          <w:color w:val="000000"/>
          <w:kern w:val="0"/>
          <w:sz w:val="32"/>
          <w:szCs w:val="32"/>
        </w:rPr>
        <w:t>。积极推进民心工程，</w:t>
      </w:r>
      <w:r>
        <w:rPr>
          <w:rFonts w:hint="eastAsia" w:ascii="仿宋_GB2312" w:eastAsia="仿宋_GB2312" w:cs="宋体" w:hAnsiTheme="majorEastAsia"/>
          <w:color w:val="000000"/>
          <w:kern w:val="0"/>
          <w:sz w:val="32"/>
          <w:szCs w:val="32"/>
        </w:rPr>
        <w:t>将22种抗癌新药纳入医保报销范围并于4月1日起正式实施，</w:t>
      </w:r>
      <w:r>
        <w:rPr>
          <w:rFonts w:hint="eastAsia" w:ascii="仿宋_GB2312" w:eastAsia="仿宋_GB2312" w:cs="宋体" w:hAnsiTheme="majorEastAsia"/>
          <w:kern w:val="0"/>
          <w:sz w:val="32"/>
          <w:szCs w:val="32"/>
        </w:rPr>
        <w:t>截至目前，已有</w:t>
      </w:r>
      <w:r>
        <w:rPr>
          <w:rFonts w:hint="eastAsia" w:cs="宋体" w:asciiTheme="minorEastAsia" w:hAnsiTheme="minorEastAsia"/>
          <w:kern w:val="0"/>
          <w:sz w:val="32"/>
          <w:szCs w:val="32"/>
        </w:rPr>
        <w:t>2969</w:t>
      </w:r>
      <w:r>
        <w:rPr>
          <w:rFonts w:hint="eastAsia" w:ascii="仿宋_GB2312" w:eastAsia="仿宋_GB2312" w:cs="宋体" w:hAnsiTheme="majorEastAsia"/>
          <w:kern w:val="0"/>
          <w:sz w:val="32"/>
          <w:szCs w:val="32"/>
        </w:rPr>
        <w:t>人次享受了22种抗癌药门诊特殊病补助</w:t>
      </w:r>
      <w:r>
        <w:rPr>
          <w:rFonts w:cs="宋体" w:asciiTheme="minorEastAsia" w:hAnsiTheme="minorEastAsia"/>
          <w:kern w:val="0"/>
          <w:sz w:val="32"/>
          <w:szCs w:val="32"/>
        </w:rPr>
        <w:t>1557.4</w:t>
      </w:r>
      <w:r>
        <w:rPr>
          <w:rFonts w:hint="eastAsia" w:ascii="仿宋_GB2312" w:eastAsia="仿宋_GB2312" w:cs="宋体" w:hAnsiTheme="majorEastAsia"/>
          <w:kern w:val="0"/>
          <w:sz w:val="32"/>
          <w:szCs w:val="32"/>
        </w:rPr>
        <w:t>万元</w:t>
      </w:r>
      <w:r>
        <w:rPr>
          <w:rFonts w:hint="eastAsia" w:ascii="仿宋_GB2312" w:eastAsia="仿宋_GB2312" w:cs="宋体" w:hAnsiTheme="majorEastAsia"/>
          <w:color w:val="000000"/>
          <w:kern w:val="0"/>
          <w:sz w:val="32"/>
          <w:szCs w:val="32"/>
        </w:rPr>
        <w:t>。</w:t>
      </w:r>
      <w:r>
        <w:rPr>
          <w:rFonts w:hint="eastAsia" w:ascii="楷体" w:hAnsi="楷体" w:eastAsia="楷体" w:cs="仿宋_GB2312"/>
          <w:sz w:val="32"/>
          <w:szCs w:val="32"/>
        </w:rPr>
        <w:t>二是医保待遇水平提升。</w:t>
      </w:r>
      <w:r>
        <w:rPr>
          <w:rFonts w:hint="eastAsia" w:ascii="仿宋" w:hAnsi="仿宋" w:eastAsia="仿宋" w:cs="宋体"/>
          <w:color w:val="000000"/>
          <w:kern w:val="0"/>
          <w:sz w:val="32"/>
          <w:szCs w:val="32"/>
        </w:rPr>
        <w:t>将城镇</w:t>
      </w:r>
      <w:r>
        <w:rPr>
          <w:rFonts w:hint="eastAsia" w:ascii="仿宋" w:hAnsi="仿宋" w:eastAsia="仿宋"/>
          <w:sz w:val="32"/>
          <w:szCs w:val="32"/>
        </w:rPr>
        <w:t>职工医疗保险基金最高支付限额由30万元提高到35万元，其中基本医疗保险统筹基金最高支付限额保持9万元不变，补充医疗保险基金最高支付限额由21万元提高到26万元，提高了参保人待遇水平，</w:t>
      </w:r>
      <w:r>
        <w:rPr>
          <w:rFonts w:hint="eastAsia" w:ascii="仿宋" w:hAnsi="仿宋" w:eastAsia="仿宋" w:cs="宋体"/>
          <w:color w:val="000000"/>
          <w:kern w:val="0"/>
          <w:sz w:val="32"/>
          <w:szCs w:val="32"/>
        </w:rPr>
        <w:t>优化了医保基金支出结构。对二级及以上重度残疾人参加城乡居民基本医疗保险的个人缴费部分，按照60%的标准给予参保资助。将心脏移植和肺移植患者术后服用抗排异反应</w:t>
      </w:r>
      <w:r>
        <w:rPr>
          <w:rFonts w:hint="eastAsia" w:ascii="仿宋" w:hAnsi="仿宋" w:eastAsia="仿宋" w:cs="宋体"/>
          <w:kern w:val="0"/>
          <w:sz w:val="32"/>
          <w:szCs w:val="32"/>
        </w:rPr>
        <w:t>等多种</w:t>
      </w:r>
      <w:r>
        <w:rPr>
          <w:rFonts w:hint="eastAsia" w:ascii="仿宋" w:hAnsi="仿宋" w:eastAsia="仿宋" w:cs="宋体"/>
          <w:color w:val="000000"/>
          <w:kern w:val="0"/>
          <w:sz w:val="32"/>
          <w:szCs w:val="32"/>
        </w:rPr>
        <w:t>药物纳入特殊门诊用药管理，进一步</w:t>
      </w:r>
      <w:r>
        <w:rPr>
          <w:rFonts w:hint="eastAsia" w:ascii="仿宋" w:hAnsi="仿宋" w:eastAsia="仿宋"/>
          <w:sz w:val="32"/>
          <w:szCs w:val="32"/>
        </w:rPr>
        <w:t>减轻参保人医疗负担。</w:t>
      </w:r>
      <w:r>
        <w:rPr>
          <w:rFonts w:hint="eastAsia" w:ascii="楷体" w:hAnsi="楷体" w:eastAsia="楷体" w:cs="仿宋_GB2312"/>
          <w:sz w:val="32"/>
          <w:szCs w:val="32"/>
        </w:rPr>
        <w:t>三是基金监管能力提升。</w:t>
      </w:r>
      <w:r>
        <w:rPr>
          <w:rFonts w:hint="eastAsia" w:ascii="仿宋" w:hAnsi="仿宋" w:eastAsia="仿宋" w:cs="仿宋_GB2312"/>
          <w:sz w:val="32"/>
          <w:szCs w:val="32"/>
        </w:rPr>
        <w:t>统筹调动全市医保工作力量，常态化开展飞行检查、日常检查、专项检查和突击检查。截至目前，已组织督导检查2轮，组织飞行检查2次。办结群众举报案件11件，受理上级移交案件4件，结案3件，正在调查1件。共检查定点医药机构3761家，其中解除服务协议2家，暂停医保服务21家，约谈169家，通报批评9家，限期整改195家，通气提醒392家。已追回和拒付医保基金共计8339.88万元，按协议规定扣除违约金208万元。全市290家医疗机构整改存量问题1693个，涉及金额12433.14万元。304家医疗机构自查自纠问题2290个，涉及金额5560余万元。19家经办机构自查自纠并整改问题45项。在挽回医保基金损失的同时，规范了医疗服务行为。目前正在制定《关于推进医疗保障基金监管制度体系改革的实施意见》，为进一步科学、规范做好医保基金监督管理、推进监管制度改革奠定制度基础。</w:t>
      </w:r>
      <w:r>
        <w:rPr>
          <w:rFonts w:hint="eastAsia" w:ascii="楷体" w:hAnsi="楷体" w:eastAsia="楷体" w:cs="仿宋_GB2312"/>
          <w:sz w:val="32"/>
          <w:szCs w:val="32"/>
        </w:rPr>
        <w:t>四是窗口服务能力提升。</w:t>
      </w:r>
      <w:r>
        <w:rPr>
          <w:rFonts w:hint="eastAsia" w:ascii="仿宋" w:hAnsi="仿宋" w:eastAsia="仿宋" w:cs="仿宋_GB2312"/>
          <w:sz w:val="32"/>
          <w:szCs w:val="32"/>
        </w:rPr>
        <w:t>市级医保服务大厅改造完成并于11月16日投入使用,</w:t>
      </w:r>
      <w:r>
        <w:rPr>
          <w:rFonts w:hint="eastAsia" w:ascii="仿宋" w:hAnsi="仿宋" w:eastAsia="仿宋" w:cs="仿宋"/>
          <w:sz w:val="32"/>
          <w:szCs w:val="32"/>
        </w:rPr>
        <w:t xml:space="preserve"> 将市职工医保中心、市居民医保中心、市药品集采中心和双桥区医保中心对外服务功能全部迁入，有效解决了市级和双桥区医保经办机构和办公分散、参保人来回跑腿的问题。大厅共开设12个对外服务窗口，整体上实行 “前台综合受理、后台分类审批”的工作模式,为实现医保服务“一门、一窗、一次”的目标奠定了坚实基础。优化经办业务流程，系统梳理了27项医保政务服务事项,从申报材料到办理流程等进行了统一优化,有效提升了医保服务标准化、规范化水平。</w:t>
      </w:r>
    </w:p>
    <w:p>
      <w:pPr>
        <w:numPr>
          <w:ilvl w:val="0"/>
          <w:numId w:val="0"/>
        </w:numPr>
        <w:adjustRightInd w:val="0"/>
        <w:snapToGrid w:val="0"/>
        <w:spacing w:line="540" w:lineRule="atLeast"/>
        <w:ind w:firstLine="643" w:firstLineChars="200"/>
        <w:rPr>
          <w:rFonts w:hint="eastAsia" w:ascii="仿宋" w:hAnsi="仿宋" w:eastAsia="仿宋" w:cs="仿宋"/>
          <w:bCs/>
          <w:sz w:val="32"/>
          <w:szCs w:val="32"/>
        </w:rPr>
      </w:pPr>
      <w:r>
        <w:rPr>
          <w:rFonts w:hint="eastAsia" w:ascii="仿宋" w:hAnsi="仿宋" w:eastAsia="仿宋" w:cs="仿宋"/>
          <w:b/>
          <w:sz w:val="32"/>
          <w:szCs w:val="32"/>
        </w:rPr>
        <w:t>二、部门整体评价工作开展</w:t>
      </w:r>
    </w:p>
    <w:p>
      <w:pPr>
        <w:adjustRightInd w:val="0"/>
        <w:snapToGrid w:val="0"/>
        <w:spacing w:line="540" w:lineRule="atLeast"/>
        <w:ind w:firstLine="640" w:firstLineChars="200"/>
        <w:rPr>
          <w:rFonts w:hint="eastAsia" w:ascii="仿宋" w:hAnsi="仿宋" w:eastAsia="仿宋" w:cs="仿宋"/>
          <w:bCs/>
          <w:kern w:val="0"/>
          <w:sz w:val="32"/>
          <w:szCs w:val="32"/>
          <w:lang w:val="en-US" w:eastAsia="zh-CN"/>
        </w:rPr>
      </w:pPr>
      <w:r>
        <w:rPr>
          <w:rFonts w:hint="eastAsia" w:ascii="仿宋" w:hAnsi="仿宋" w:eastAsia="仿宋" w:cs="仿宋"/>
          <w:kern w:val="0"/>
          <w:sz w:val="32"/>
          <w:szCs w:val="32"/>
        </w:rPr>
        <w:t>（一）绩效评价</w:t>
      </w:r>
      <w:r>
        <w:rPr>
          <w:rFonts w:hint="eastAsia" w:ascii="仿宋" w:hAnsi="仿宋" w:eastAsia="仿宋" w:cs="仿宋"/>
          <w:bCs/>
          <w:kern w:val="0"/>
          <w:sz w:val="32"/>
          <w:szCs w:val="32"/>
          <w:lang w:val="en-US" w:eastAsia="zh-CN"/>
        </w:rPr>
        <w:t>目的</w:t>
      </w:r>
    </w:p>
    <w:p>
      <w:pPr>
        <w:adjustRightInd w:val="0"/>
        <w:snapToGrid w:val="0"/>
        <w:spacing w:line="540" w:lineRule="atLeast"/>
        <w:ind w:firstLine="640" w:firstLineChars="200"/>
        <w:rPr>
          <w:rFonts w:hint="eastAsia" w:ascii="仿宋" w:hAnsi="仿宋" w:eastAsia="仿宋" w:cs="仿宋"/>
          <w:bCs/>
          <w:kern w:val="0"/>
          <w:sz w:val="32"/>
          <w:szCs w:val="32"/>
          <w:lang w:val="en-US" w:eastAsia="zh-CN"/>
        </w:rPr>
      </w:pPr>
      <w:r>
        <w:rPr>
          <w:rFonts w:hint="eastAsia" w:ascii="仿宋" w:hAnsi="仿宋" w:eastAsia="仿宋" w:cs="仿宋"/>
          <w:bCs/>
          <w:kern w:val="0"/>
          <w:sz w:val="32"/>
          <w:szCs w:val="32"/>
          <w:lang w:val="en-US" w:eastAsia="zh-CN"/>
        </w:rPr>
        <w:t>严格落实《预算法》及省、市绩效管理工作的有关规定，进一步规范财政资金的管理，强化财政支出绩效理念，提升部门责任意识，提高资金使用效益，促进医疗保障事业的发展。</w:t>
      </w:r>
    </w:p>
    <w:p>
      <w:pPr>
        <w:numPr>
          <w:ilvl w:val="0"/>
          <w:numId w:val="3"/>
        </w:numPr>
        <w:adjustRightInd w:val="0"/>
        <w:snapToGrid w:val="0"/>
        <w:spacing w:line="540" w:lineRule="atLeast"/>
        <w:ind w:firstLine="640" w:firstLineChars="200"/>
        <w:rPr>
          <w:rFonts w:hint="eastAsia" w:ascii="仿宋" w:hAnsi="仿宋" w:eastAsia="仿宋" w:cs="仿宋"/>
          <w:bCs/>
          <w:color w:val="auto"/>
          <w:kern w:val="0"/>
          <w:sz w:val="32"/>
          <w:szCs w:val="32"/>
          <w:lang w:val="en-US" w:eastAsia="zh-CN"/>
        </w:rPr>
      </w:pPr>
      <w:r>
        <w:rPr>
          <w:rFonts w:hint="eastAsia" w:ascii="仿宋" w:hAnsi="仿宋" w:eastAsia="仿宋" w:cs="仿宋"/>
          <w:color w:val="auto"/>
          <w:kern w:val="0"/>
          <w:sz w:val="32"/>
          <w:szCs w:val="32"/>
        </w:rPr>
        <w:t>绩效评价</w:t>
      </w:r>
      <w:r>
        <w:rPr>
          <w:rFonts w:hint="eastAsia" w:ascii="仿宋" w:hAnsi="仿宋" w:eastAsia="仿宋" w:cs="仿宋"/>
          <w:color w:val="auto"/>
          <w:kern w:val="0"/>
          <w:sz w:val="32"/>
          <w:szCs w:val="32"/>
          <w:lang w:val="en-US" w:eastAsia="zh-CN"/>
        </w:rPr>
        <w:t>实施</w:t>
      </w:r>
      <w:r>
        <w:rPr>
          <w:rFonts w:hint="eastAsia" w:ascii="仿宋" w:hAnsi="仿宋" w:eastAsia="仿宋" w:cs="仿宋"/>
          <w:bCs/>
          <w:color w:val="auto"/>
          <w:kern w:val="0"/>
          <w:sz w:val="32"/>
          <w:szCs w:val="32"/>
          <w:lang w:val="en-US" w:eastAsia="zh-CN"/>
        </w:rPr>
        <w:t>过程</w:t>
      </w:r>
    </w:p>
    <w:p>
      <w:pPr>
        <w:numPr>
          <w:ilvl w:val="0"/>
          <w:numId w:val="0"/>
        </w:numPr>
        <w:adjustRightInd w:val="0"/>
        <w:snapToGrid w:val="0"/>
        <w:spacing w:line="540" w:lineRule="atLeast"/>
        <w:ind w:firstLine="640" w:firstLineChars="200"/>
        <w:rPr>
          <w:rFonts w:hint="eastAsia" w:ascii="仿宋" w:hAnsi="仿宋" w:eastAsia="仿宋" w:cs="仿宋"/>
          <w:bCs/>
          <w:kern w:val="0"/>
          <w:sz w:val="32"/>
          <w:szCs w:val="32"/>
          <w:lang w:val="en-US" w:eastAsia="zh-CN"/>
        </w:rPr>
      </w:pPr>
      <w:r>
        <w:rPr>
          <w:rFonts w:hint="eastAsia" w:ascii="仿宋" w:hAnsi="仿宋" w:eastAsia="仿宋" w:cs="仿宋"/>
          <w:bCs/>
          <w:kern w:val="0"/>
          <w:sz w:val="32"/>
          <w:szCs w:val="32"/>
          <w:lang w:val="en-US" w:eastAsia="zh-CN"/>
        </w:rPr>
        <w:t>绩效评价工作成立了领导小组，并对照自查情况计算自评分数撰写评价报告，针对查找出的问题逐一进行改正。</w:t>
      </w:r>
    </w:p>
    <w:p>
      <w:pPr>
        <w:adjustRightInd w:val="0"/>
        <w:snapToGrid w:val="0"/>
        <w:spacing w:line="540" w:lineRule="atLeast"/>
        <w:ind w:firstLine="643" w:firstLineChars="200"/>
        <w:rPr>
          <w:rFonts w:hint="eastAsia" w:ascii="仿宋" w:hAnsi="仿宋" w:eastAsia="仿宋" w:cs="仿宋"/>
          <w:b w:val="0"/>
          <w:bCs/>
          <w:kern w:val="0"/>
          <w:sz w:val="32"/>
          <w:szCs w:val="32"/>
          <w:lang w:val="en-US" w:eastAsia="zh-CN"/>
        </w:rPr>
      </w:pPr>
      <w:r>
        <w:rPr>
          <w:rFonts w:hint="eastAsia" w:ascii="仿宋" w:hAnsi="仿宋" w:eastAsia="仿宋" w:cs="仿宋"/>
          <w:b/>
          <w:kern w:val="0"/>
          <w:sz w:val="32"/>
          <w:szCs w:val="32"/>
        </w:rPr>
        <w:t>三、部门整体支出绩效</w:t>
      </w:r>
      <w:r>
        <w:rPr>
          <w:rFonts w:hint="eastAsia" w:ascii="仿宋" w:hAnsi="仿宋" w:eastAsia="仿宋" w:cs="仿宋"/>
          <w:b/>
          <w:kern w:val="0"/>
          <w:sz w:val="32"/>
          <w:szCs w:val="32"/>
          <w:lang w:val="en-US" w:eastAsia="zh-CN"/>
        </w:rPr>
        <w:t>自评得分情况</w:t>
      </w:r>
    </w:p>
    <w:p>
      <w:pPr>
        <w:adjustRightInd w:val="0"/>
        <w:snapToGrid w:val="0"/>
        <w:spacing w:line="540" w:lineRule="atLeast"/>
        <w:ind w:firstLine="640" w:firstLineChars="200"/>
        <w:rPr>
          <w:rFonts w:hint="default" w:ascii="仿宋_GB2312" w:hAnsi="仿宋_GB2312" w:eastAsia="仿宋_GB2312" w:cs="仿宋_GB2312"/>
          <w:sz w:val="32"/>
          <w:szCs w:val="32"/>
          <w:lang w:val="en-US" w:eastAsia="zh-CN"/>
        </w:rPr>
      </w:pPr>
      <w:r>
        <w:rPr>
          <w:rFonts w:hint="eastAsia" w:ascii="仿宋" w:hAnsi="仿宋" w:eastAsia="仿宋" w:cs="仿宋"/>
          <w:sz w:val="32"/>
          <w:szCs w:val="32"/>
          <w:lang w:val="en-US" w:eastAsia="zh-CN"/>
        </w:rPr>
        <w:t>根据《部门整体支出绩效评价指标体系》评分，得分</w:t>
      </w:r>
      <w:r>
        <w:rPr>
          <w:rFonts w:hint="eastAsia" w:ascii="仿宋" w:hAnsi="仿宋" w:eastAsia="仿宋" w:cs="仿宋"/>
          <w:color w:val="auto"/>
          <w:sz w:val="32"/>
          <w:szCs w:val="32"/>
          <w:lang w:val="en-US" w:eastAsia="zh-CN"/>
        </w:rPr>
        <w:t>84</w:t>
      </w:r>
      <w:r>
        <w:rPr>
          <w:rFonts w:hint="eastAsia" w:ascii="仿宋" w:hAnsi="仿宋" w:eastAsia="仿宋" w:cs="仿宋"/>
          <w:sz w:val="32"/>
          <w:szCs w:val="32"/>
          <w:lang w:val="en-US" w:eastAsia="zh-CN"/>
        </w:rPr>
        <w:t>分，绩效评价等级为“</w:t>
      </w:r>
      <w:r>
        <w:rPr>
          <w:rFonts w:hint="eastAsia" w:ascii="仿宋_GB2312" w:hAnsi="仿宋_GB2312" w:eastAsia="仿宋_GB2312" w:cs="仿宋_GB2312"/>
          <w:sz w:val="32"/>
          <w:szCs w:val="32"/>
          <w:lang w:val="en-US" w:eastAsia="zh-CN"/>
        </w:rPr>
        <w:t>良好”。</w:t>
      </w:r>
    </w:p>
    <w:p>
      <w:pPr>
        <w:numPr>
          <w:ilvl w:val="0"/>
          <w:numId w:val="4"/>
        </w:numPr>
        <w:adjustRightInd w:val="0"/>
        <w:snapToGrid w:val="0"/>
        <w:spacing w:line="540" w:lineRule="atLeast"/>
        <w:ind w:firstLine="643" w:firstLineChars="200"/>
        <w:rPr>
          <w:rFonts w:hint="eastAsia" w:ascii="仿宋" w:hAnsi="仿宋" w:eastAsia="仿宋" w:cs="仿宋"/>
          <w:b/>
          <w:sz w:val="32"/>
          <w:szCs w:val="32"/>
        </w:rPr>
      </w:pPr>
      <w:r>
        <w:rPr>
          <w:rFonts w:hint="eastAsia" w:ascii="仿宋" w:hAnsi="仿宋" w:eastAsia="仿宋" w:cs="仿宋"/>
          <w:b/>
          <w:sz w:val="32"/>
          <w:szCs w:val="32"/>
        </w:rPr>
        <w:t>存在的问题</w:t>
      </w:r>
      <w:r>
        <w:rPr>
          <w:rFonts w:hint="eastAsia" w:ascii="仿宋" w:hAnsi="仿宋" w:eastAsia="仿宋" w:cs="仿宋"/>
          <w:b/>
          <w:sz w:val="32"/>
          <w:szCs w:val="32"/>
          <w:lang w:val="en-US" w:eastAsia="zh-CN"/>
        </w:rPr>
        <w:t>及措施</w:t>
      </w:r>
    </w:p>
    <w:p>
      <w:pPr>
        <w:numPr>
          <w:ilvl w:val="0"/>
          <w:numId w:val="5"/>
        </w:numPr>
        <w:adjustRightInd w:val="0"/>
        <w:snapToGrid w:val="0"/>
        <w:spacing w:line="540" w:lineRule="atLeast"/>
        <w:ind w:firstLine="56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资产管理工作有待加强，预算绩效管理制度不够完善。</w:t>
      </w:r>
    </w:p>
    <w:p>
      <w:pPr>
        <w:numPr>
          <w:ilvl w:val="0"/>
          <w:numId w:val="5"/>
        </w:numPr>
        <w:adjustRightInd w:val="0"/>
        <w:snapToGrid w:val="0"/>
        <w:spacing w:line="540" w:lineRule="atLeast"/>
        <w:ind w:firstLine="56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支出管理力度不够，个别预算项目支出未按进度执行。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下一步将完善预算绩效管理制度、工作保障制度，加强支出管理，通过优化支出结构、编实编细预算，将各项资金用到实处，最大化发挥资金效益。</w:t>
      </w:r>
    </w:p>
    <w:p>
      <w:pPr>
        <w:numPr>
          <w:ilvl w:val="0"/>
          <w:numId w:val="0"/>
        </w:numPr>
        <w:adjustRightInd w:val="0"/>
        <w:snapToGrid w:val="0"/>
        <w:spacing w:line="540" w:lineRule="atLeast"/>
        <w:ind w:firstLine="640" w:firstLineChars="200"/>
        <w:rPr>
          <w:rFonts w:hint="eastAsia" w:ascii="仿宋_GB2312" w:hAnsi="仿宋_GB2312" w:eastAsia="仿宋_GB2312" w:cs="仿宋_GB2312"/>
          <w:b w:val="0"/>
          <w:bCs/>
          <w:sz w:val="32"/>
          <w:szCs w:val="32"/>
          <w:lang w:val="en-US" w:eastAsia="zh-CN"/>
        </w:rPr>
      </w:pPr>
    </w:p>
    <w:p>
      <w:pPr>
        <w:numPr>
          <w:ilvl w:val="0"/>
          <w:numId w:val="0"/>
        </w:numPr>
        <w:adjustRightInd w:val="0"/>
        <w:snapToGrid w:val="0"/>
        <w:spacing w:line="540" w:lineRule="atLeast"/>
        <w:ind w:leftChars="200"/>
        <w:rPr>
          <w:rFonts w:hint="eastAsia" w:ascii="仿宋_GB2312" w:hAnsi="仿宋_GB2312" w:eastAsia="仿宋_GB2312" w:cs="仿宋_GB2312"/>
          <w:b/>
          <w:sz w:val="28"/>
          <w:szCs w:val="28"/>
        </w:rPr>
      </w:pPr>
    </w:p>
    <w:p>
      <w:pPr>
        <w:numPr>
          <w:ilvl w:val="0"/>
          <w:numId w:val="0"/>
        </w:numPr>
        <w:adjustRightInd w:val="0"/>
        <w:snapToGrid w:val="0"/>
        <w:spacing w:line="540" w:lineRule="atLeast"/>
        <w:ind w:leftChars="200"/>
        <w:rPr>
          <w:rFonts w:hint="eastAsia" w:ascii="仿宋_GB2312" w:hAnsi="仿宋_GB2312" w:eastAsia="仿宋_GB2312" w:cs="仿宋_GB2312"/>
          <w:b/>
          <w:sz w:val="28"/>
          <w:szCs w:val="28"/>
        </w:rPr>
      </w:pPr>
    </w:p>
    <w:p/>
    <w:sectPr>
      <w:pgSz w:w="11906" w:h="16838"/>
      <w:pgMar w:top="1361"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ngXian-Regular">
    <w:altName w:val="宋体"/>
    <w:panose1 w:val="00000000000000000000"/>
    <w:charset w:val="86"/>
    <w:family w:val="auto"/>
    <w:pitch w:val="default"/>
    <w:sig w:usb0="00000000" w:usb1="00000000" w:usb2="00000010"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6D04E7"/>
    <w:multiLevelType w:val="singleLevel"/>
    <w:tmpl w:val="966D04E7"/>
    <w:lvl w:ilvl="0" w:tentative="0">
      <w:start w:val="4"/>
      <w:numFmt w:val="chineseCounting"/>
      <w:suff w:val="nothing"/>
      <w:lvlText w:val="%1、"/>
      <w:lvlJc w:val="left"/>
      <w:rPr>
        <w:rFonts w:hint="eastAsia"/>
      </w:rPr>
    </w:lvl>
  </w:abstractNum>
  <w:abstractNum w:abstractNumId="1">
    <w:nsid w:val="BE54F274"/>
    <w:multiLevelType w:val="singleLevel"/>
    <w:tmpl w:val="BE54F274"/>
    <w:lvl w:ilvl="0" w:tentative="0">
      <w:start w:val="2"/>
      <w:numFmt w:val="chineseCounting"/>
      <w:suff w:val="nothing"/>
      <w:lvlText w:val="（%1）"/>
      <w:lvlJc w:val="left"/>
      <w:rPr>
        <w:rFonts w:hint="eastAsia"/>
      </w:rPr>
    </w:lvl>
  </w:abstractNum>
  <w:abstractNum w:abstractNumId="2">
    <w:nsid w:val="C47A729D"/>
    <w:multiLevelType w:val="singleLevel"/>
    <w:tmpl w:val="C47A729D"/>
    <w:lvl w:ilvl="0" w:tentative="0">
      <w:start w:val="1"/>
      <w:numFmt w:val="chineseCounting"/>
      <w:suff w:val="nothing"/>
      <w:lvlText w:val="%1、"/>
      <w:lvlJc w:val="left"/>
      <w:rPr>
        <w:rFonts w:hint="eastAsia"/>
      </w:rPr>
    </w:lvl>
  </w:abstractNum>
  <w:abstractNum w:abstractNumId="3">
    <w:nsid w:val="1F64159E"/>
    <w:multiLevelType w:val="singleLevel"/>
    <w:tmpl w:val="1F64159E"/>
    <w:lvl w:ilvl="0" w:tentative="0">
      <w:start w:val="3"/>
      <w:numFmt w:val="chineseCounting"/>
      <w:suff w:val="nothing"/>
      <w:lvlText w:val="（%1）"/>
      <w:lvlJc w:val="left"/>
      <w:rPr>
        <w:rFonts w:hint="eastAsia"/>
      </w:rPr>
    </w:lvl>
  </w:abstractNum>
  <w:abstractNum w:abstractNumId="4">
    <w:nsid w:val="75381BA3"/>
    <w:multiLevelType w:val="singleLevel"/>
    <w:tmpl w:val="75381BA3"/>
    <w:lvl w:ilvl="0" w:tentative="0">
      <w:start w:val="1"/>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556759"/>
    <w:rsid w:val="01B44B12"/>
    <w:rsid w:val="02205DDF"/>
    <w:rsid w:val="04D77B26"/>
    <w:rsid w:val="05F200E6"/>
    <w:rsid w:val="066359CE"/>
    <w:rsid w:val="09E30B6F"/>
    <w:rsid w:val="0A4A4C46"/>
    <w:rsid w:val="0BC201A9"/>
    <w:rsid w:val="108D6693"/>
    <w:rsid w:val="11DE162C"/>
    <w:rsid w:val="16753566"/>
    <w:rsid w:val="18AD63E2"/>
    <w:rsid w:val="18D624B3"/>
    <w:rsid w:val="1A0B4F67"/>
    <w:rsid w:val="1A321D92"/>
    <w:rsid w:val="1C61676B"/>
    <w:rsid w:val="1C911978"/>
    <w:rsid w:val="1C922AB5"/>
    <w:rsid w:val="1CC41441"/>
    <w:rsid w:val="1D534BF1"/>
    <w:rsid w:val="1D946A38"/>
    <w:rsid w:val="1DDB5AD9"/>
    <w:rsid w:val="1EA263AB"/>
    <w:rsid w:val="1FBD6E75"/>
    <w:rsid w:val="20171973"/>
    <w:rsid w:val="204C60E3"/>
    <w:rsid w:val="28606294"/>
    <w:rsid w:val="288F0238"/>
    <w:rsid w:val="2D0E04C7"/>
    <w:rsid w:val="2DF53819"/>
    <w:rsid w:val="2E556759"/>
    <w:rsid w:val="2F1F43CA"/>
    <w:rsid w:val="2F737E39"/>
    <w:rsid w:val="2FF658EE"/>
    <w:rsid w:val="30FE6B08"/>
    <w:rsid w:val="31172867"/>
    <w:rsid w:val="33AA0B7D"/>
    <w:rsid w:val="351501A3"/>
    <w:rsid w:val="375A552F"/>
    <w:rsid w:val="3863233C"/>
    <w:rsid w:val="396A79B3"/>
    <w:rsid w:val="39B13039"/>
    <w:rsid w:val="3D152655"/>
    <w:rsid w:val="3D667BA9"/>
    <w:rsid w:val="3DB211BD"/>
    <w:rsid w:val="41861093"/>
    <w:rsid w:val="42E0177A"/>
    <w:rsid w:val="43150899"/>
    <w:rsid w:val="431C0775"/>
    <w:rsid w:val="43584B17"/>
    <w:rsid w:val="44397AE0"/>
    <w:rsid w:val="454C1594"/>
    <w:rsid w:val="458276EF"/>
    <w:rsid w:val="45974910"/>
    <w:rsid w:val="45BE4205"/>
    <w:rsid w:val="45C83C81"/>
    <w:rsid w:val="46185B18"/>
    <w:rsid w:val="471340A4"/>
    <w:rsid w:val="47215EC7"/>
    <w:rsid w:val="48EB1731"/>
    <w:rsid w:val="4CCA71B4"/>
    <w:rsid w:val="4E805BF6"/>
    <w:rsid w:val="4EDA2FF2"/>
    <w:rsid w:val="503F4167"/>
    <w:rsid w:val="517E14A2"/>
    <w:rsid w:val="51B5575B"/>
    <w:rsid w:val="54B70648"/>
    <w:rsid w:val="5789410E"/>
    <w:rsid w:val="57CC5805"/>
    <w:rsid w:val="58387F85"/>
    <w:rsid w:val="5DD80F5A"/>
    <w:rsid w:val="5F2A237A"/>
    <w:rsid w:val="605D6D66"/>
    <w:rsid w:val="60896B80"/>
    <w:rsid w:val="62DD2FEF"/>
    <w:rsid w:val="630279DC"/>
    <w:rsid w:val="64260B3A"/>
    <w:rsid w:val="65A77869"/>
    <w:rsid w:val="66507135"/>
    <w:rsid w:val="67C94257"/>
    <w:rsid w:val="68F17500"/>
    <w:rsid w:val="6E6010BA"/>
    <w:rsid w:val="71161857"/>
    <w:rsid w:val="71DB16C2"/>
    <w:rsid w:val="72727689"/>
    <w:rsid w:val="731649D8"/>
    <w:rsid w:val="73DF6B67"/>
    <w:rsid w:val="78383EDA"/>
    <w:rsid w:val="79041C1D"/>
    <w:rsid w:val="7958571F"/>
    <w:rsid w:val="7B5F63BC"/>
    <w:rsid w:val="7D87298A"/>
    <w:rsid w:val="7D9A1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line="360" w:lineRule="auto"/>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59</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2020-10-21T06:44:00Z</dcterms:created>
  <dc:creator>x。z</dc:creator>
  <cp:lastModifiedBy></cp:lastModifiedBy>
  <cp:lastPrinted>2020-11-16T03:31:00Z</cp:lastPrinted>
  <dcterms:modified xsi:type="dcterms:W3CDTF">2021-03-15T07:32:59Z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