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02800" w14:textId="77777777" w:rsidR="00752F6F" w:rsidRDefault="00752F6F">
      <w:pPr>
        <w:adjustRightInd w:val="0"/>
        <w:snapToGrid w:val="0"/>
        <w:spacing w:line="540" w:lineRule="atLeast"/>
        <w:rPr>
          <w:rFonts w:ascii="仿宋_GB2312" w:eastAsia="仿宋_GB2312" w:hAnsi="仿宋_GB2312" w:cs="仿宋_GB2312" w:hint="eastAsia"/>
          <w:b/>
          <w:sz w:val="28"/>
          <w:szCs w:val="28"/>
        </w:rPr>
      </w:pPr>
    </w:p>
    <w:p w14:paraId="3CAB3389" w14:textId="77777777" w:rsidR="00752F6F" w:rsidRDefault="00000000">
      <w:pPr>
        <w:adjustRightInd w:val="0"/>
        <w:snapToGrid w:val="0"/>
        <w:spacing w:line="540" w:lineRule="atLeast"/>
        <w:ind w:leftChars="200" w:left="420"/>
        <w:rPr>
          <w:rFonts w:ascii="黑体" w:eastAsia="黑体" w:hAnsi="仿宋_GB2312" w:cs="仿宋_GB2312" w:hint="eastAsia"/>
          <w:kern w:val="0"/>
          <w:sz w:val="32"/>
          <w:szCs w:val="32"/>
        </w:rPr>
      </w:pPr>
      <w:r>
        <w:rPr>
          <w:rFonts w:ascii="黑体" w:eastAsia="黑体" w:hAnsi="仿宋_GB2312" w:cs="仿宋_GB2312" w:hint="eastAsia"/>
          <w:kern w:val="0"/>
          <w:sz w:val="32"/>
          <w:szCs w:val="32"/>
        </w:rPr>
        <w:t>附件</w:t>
      </w:r>
      <w:r>
        <w:rPr>
          <w:rFonts w:ascii="黑体" w:eastAsia="黑体" w:hAnsi="仿宋_GB2312" w:cs="仿宋_GB2312"/>
          <w:kern w:val="0"/>
          <w:sz w:val="32"/>
          <w:szCs w:val="32"/>
        </w:rPr>
        <w:t>2</w:t>
      </w:r>
      <w:r>
        <w:rPr>
          <w:rFonts w:ascii="黑体" w:eastAsia="黑体" w:hAnsi="仿宋_GB2312" w:cs="仿宋_GB2312" w:hint="eastAsia"/>
          <w:kern w:val="0"/>
          <w:sz w:val="32"/>
          <w:szCs w:val="32"/>
        </w:rPr>
        <w:t>：</w:t>
      </w:r>
    </w:p>
    <w:p w14:paraId="0EE4D6B4" w14:textId="77777777" w:rsidR="00752F6F" w:rsidRDefault="00000000">
      <w:pPr>
        <w:widowControl/>
        <w:spacing w:line="600" w:lineRule="atLeast"/>
        <w:jc w:val="center"/>
        <w:rPr>
          <w:rFonts w:ascii="仿宋" w:eastAsia="仿宋" w:hAnsi="仿宋" w:cs="宋体" w:hint="eastAsia"/>
          <w:kern w:val="0"/>
          <w:sz w:val="24"/>
          <w:szCs w:val="24"/>
        </w:rPr>
      </w:pPr>
      <w:r>
        <w:rPr>
          <w:rFonts w:ascii="仿宋" w:eastAsia="仿宋" w:hAnsi="仿宋" w:cs="宋体" w:hint="eastAsia"/>
          <w:b/>
          <w:color w:val="000000"/>
          <w:kern w:val="0"/>
          <w:sz w:val="44"/>
          <w:szCs w:val="24"/>
          <w:u w:val="single"/>
        </w:rPr>
        <w:t>承德市医疗保障局</w:t>
      </w:r>
      <w:r>
        <w:rPr>
          <w:rFonts w:ascii="仿宋" w:eastAsia="仿宋" w:hAnsi="仿宋" w:cs="宋体" w:hint="eastAsia"/>
          <w:b/>
          <w:color w:val="000000"/>
          <w:kern w:val="0"/>
          <w:sz w:val="44"/>
          <w:szCs w:val="24"/>
        </w:rPr>
        <w:t>部</w:t>
      </w:r>
      <w:proofErr w:type="gramStart"/>
      <w:r>
        <w:rPr>
          <w:rFonts w:ascii="仿宋" w:eastAsia="仿宋" w:hAnsi="仿宋" w:cs="宋体" w:hint="eastAsia"/>
          <w:b/>
          <w:color w:val="000000"/>
          <w:kern w:val="0"/>
          <w:sz w:val="44"/>
          <w:szCs w:val="24"/>
        </w:rPr>
        <w:t>门整体</w:t>
      </w:r>
      <w:proofErr w:type="gramEnd"/>
      <w:r>
        <w:rPr>
          <w:rFonts w:ascii="仿宋" w:eastAsia="仿宋" w:hAnsi="仿宋" w:cs="宋体" w:hint="eastAsia"/>
          <w:b/>
          <w:color w:val="000000"/>
          <w:kern w:val="0"/>
          <w:sz w:val="44"/>
          <w:szCs w:val="24"/>
        </w:rPr>
        <w:t>支出绩效评价指标体系评分表</w:t>
      </w:r>
    </w:p>
    <w:tbl>
      <w:tblPr>
        <w:tblW w:w="141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
        <w:gridCol w:w="803"/>
        <w:gridCol w:w="1182"/>
        <w:gridCol w:w="6554"/>
        <w:gridCol w:w="3780"/>
        <w:gridCol w:w="1090"/>
      </w:tblGrid>
      <w:tr w:rsidR="00752F6F" w14:paraId="6471BAF8" w14:textId="77777777">
        <w:trPr>
          <w:trHeight w:val="68"/>
          <w:jc w:val="center"/>
        </w:trPr>
        <w:tc>
          <w:tcPr>
            <w:tcW w:w="733" w:type="dxa"/>
            <w:vMerge w:val="restart"/>
            <w:tcBorders>
              <w:top w:val="single" w:sz="4" w:space="0" w:color="000000"/>
              <w:left w:val="single" w:sz="4" w:space="0" w:color="000000"/>
              <w:bottom w:val="single" w:sz="4" w:space="0" w:color="000000"/>
              <w:right w:val="single" w:sz="4" w:space="0" w:color="000000"/>
            </w:tcBorders>
            <w:vAlign w:val="center"/>
          </w:tcPr>
          <w:p w14:paraId="7C0D7940"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一级指标</w:t>
            </w:r>
          </w:p>
        </w:tc>
        <w:tc>
          <w:tcPr>
            <w:tcW w:w="803" w:type="dxa"/>
            <w:vMerge w:val="restart"/>
            <w:tcBorders>
              <w:top w:val="single" w:sz="4" w:space="0" w:color="000000"/>
              <w:left w:val="single" w:sz="4" w:space="0" w:color="000000"/>
              <w:bottom w:val="single" w:sz="4" w:space="0" w:color="000000"/>
              <w:right w:val="single" w:sz="4" w:space="0" w:color="000000"/>
            </w:tcBorders>
            <w:vAlign w:val="center"/>
          </w:tcPr>
          <w:p w14:paraId="2BF17F7E"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二级指标</w:t>
            </w:r>
          </w:p>
        </w:tc>
        <w:tc>
          <w:tcPr>
            <w:tcW w:w="7736" w:type="dxa"/>
            <w:gridSpan w:val="2"/>
            <w:tcBorders>
              <w:top w:val="single" w:sz="4" w:space="0" w:color="000000"/>
              <w:left w:val="single" w:sz="4" w:space="0" w:color="000000"/>
              <w:bottom w:val="single" w:sz="4" w:space="0" w:color="000000"/>
              <w:right w:val="single" w:sz="4" w:space="0" w:color="auto"/>
            </w:tcBorders>
            <w:vAlign w:val="center"/>
          </w:tcPr>
          <w:p w14:paraId="6AB4C655"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三级指标</w:t>
            </w:r>
          </w:p>
        </w:tc>
        <w:tc>
          <w:tcPr>
            <w:tcW w:w="3780" w:type="dxa"/>
            <w:vMerge w:val="restart"/>
            <w:tcBorders>
              <w:top w:val="single" w:sz="4" w:space="0" w:color="000000"/>
              <w:left w:val="single" w:sz="4" w:space="0" w:color="auto"/>
              <w:bottom w:val="single" w:sz="4" w:space="0" w:color="000000"/>
              <w:right w:val="single" w:sz="4" w:space="0" w:color="auto"/>
            </w:tcBorders>
            <w:vAlign w:val="center"/>
          </w:tcPr>
          <w:p w14:paraId="3429A89C"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评分标准</w:t>
            </w:r>
          </w:p>
        </w:tc>
        <w:tc>
          <w:tcPr>
            <w:tcW w:w="1090" w:type="dxa"/>
            <w:vMerge w:val="restart"/>
            <w:tcBorders>
              <w:top w:val="single" w:sz="4" w:space="0" w:color="000000"/>
              <w:left w:val="single" w:sz="4" w:space="0" w:color="auto"/>
              <w:bottom w:val="single" w:sz="4" w:space="0" w:color="000000"/>
              <w:right w:val="single" w:sz="4" w:space="0" w:color="auto"/>
            </w:tcBorders>
            <w:vAlign w:val="center"/>
          </w:tcPr>
          <w:p w14:paraId="3D363A92"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得分</w:t>
            </w:r>
          </w:p>
        </w:tc>
      </w:tr>
      <w:tr w:rsidR="00752F6F" w14:paraId="289EA8FB" w14:textId="77777777">
        <w:trPr>
          <w:trHeight w:val="68"/>
          <w:jc w:val="center"/>
        </w:trPr>
        <w:tc>
          <w:tcPr>
            <w:tcW w:w="733" w:type="dxa"/>
            <w:vMerge/>
            <w:tcBorders>
              <w:top w:val="single" w:sz="4" w:space="0" w:color="000000"/>
              <w:left w:val="single" w:sz="4" w:space="0" w:color="000000"/>
              <w:bottom w:val="single" w:sz="4" w:space="0" w:color="000000"/>
              <w:right w:val="single" w:sz="4" w:space="0" w:color="000000"/>
            </w:tcBorders>
            <w:vAlign w:val="center"/>
          </w:tcPr>
          <w:p w14:paraId="7A1EA451"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0492AAAB"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09AA23B0"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指标名称</w:t>
            </w:r>
          </w:p>
        </w:tc>
        <w:tc>
          <w:tcPr>
            <w:tcW w:w="6554" w:type="dxa"/>
            <w:tcBorders>
              <w:top w:val="single" w:sz="4" w:space="0" w:color="000000"/>
              <w:left w:val="single" w:sz="4" w:space="0" w:color="auto"/>
              <w:bottom w:val="single" w:sz="4" w:space="0" w:color="000000"/>
              <w:right w:val="single" w:sz="4" w:space="0" w:color="auto"/>
            </w:tcBorders>
            <w:vAlign w:val="center"/>
          </w:tcPr>
          <w:p w14:paraId="5F27C7F0" w14:textId="77777777" w:rsidR="00752F6F" w:rsidRDefault="00000000">
            <w:pPr>
              <w:widowControl/>
              <w:spacing w:line="68" w:lineRule="atLeast"/>
              <w:jc w:val="center"/>
              <w:rPr>
                <w:rFonts w:ascii="仿宋" w:eastAsia="仿宋" w:hAnsi="仿宋" w:cs="宋体" w:hint="eastAsia"/>
                <w:kern w:val="0"/>
                <w:sz w:val="24"/>
                <w:szCs w:val="24"/>
              </w:rPr>
            </w:pPr>
            <w:r>
              <w:rPr>
                <w:rFonts w:ascii="仿宋" w:eastAsia="仿宋" w:hAnsi="仿宋" w:cs="Arial"/>
                <w:b/>
                <w:bCs/>
                <w:kern w:val="0"/>
                <w:sz w:val="24"/>
                <w:szCs w:val="24"/>
              </w:rPr>
              <w:t>指标解释说明</w:t>
            </w:r>
          </w:p>
        </w:tc>
        <w:tc>
          <w:tcPr>
            <w:tcW w:w="3780" w:type="dxa"/>
            <w:vMerge/>
            <w:tcBorders>
              <w:top w:val="single" w:sz="4" w:space="0" w:color="000000"/>
              <w:left w:val="single" w:sz="4" w:space="0" w:color="auto"/>
              <w:bottom w:val="single" w:sz="4" w:space="0" w:color="000000"/>
              <w:right w:val="single" w:sz="4" w:space="0" w:color="auto"/>
            </w:tcBorders>
            <w:vAlign w:val="center"/>
          </w:tcPr>
          <w:p w14:paraId="142E3A73" w14:textId="77777777" w:rsidR="00752F6F" w:rsidRDefault="00752F6F">
            <w:pPr>
              <w:widowControl/>
              <w:jc w:val="left"/>
              <w:rPr>
                <w:rFonts w:ascii="仿宋" w:eastAsia="仿宋" w:hAnsi="仿宋" w:cs="宋体" w:hint="eastAsia"/>
                <w:kern w:val="0"/>
                <w:sz w:val="24"/>
                <w:szCs w:val="24"/>
              </w:rPr>
            </w:pPr>
          </w:p>
        </w:tc>
        <w:tc>
          <w:tcPr>
            <w:tcW w:w="1090" w:type="dxa"/>
            <w:vMerge/>
            <w:tcBorders>
              <w:top w:val="single" w:sz="4" w:space="0" w:color="000000"/>
              <w:left w:val="single" w:sz="4" w:space="0" w:color="auto"/>
              <w:bottom w:val="single" w:sz="4" w:space="0" w:color="000000"/>
              <w:right w:val="single" w:sz="4" w:space="0" w:color="auto"/>
            </w:tcBorders>
            <w:vAlign w:val="center"/>
          </w:tcPr>
          <w:p w14:paraId="4C8515B5" w14:textId="77777777" w:rsidR="00752F6F" w:rsidRDefault="00752F6F">
            <w:pPr>
              <w:widowControl/>
              <w:jc w:val="left"/>
              <w:rPr>
                <w:rFonts w:ascii="仿宋" w:eastAsia="仿宋" w:hAnsi="仿宋" w:cs="宋体" w:hint="eastAsia"/>
                <w:kern w:val="0"/>
                <w:sz w:val="24"/>
                <w:szCs w:val="24"/>
              </w:rPr>
            </w:pPr>
          </w:p>
        </w:tc>
      </w:tr>
      <w:tr w:rsidR="00752F6F" w14:paraId="41142AE7" w14:textId="77777777">
        <w:trPr>
          <w:trHeight w:val="871"/>
          <w:jc w:val="center"/>
        </w:trPr>
        <w:tc>
          <w:tcPr>
            <w:tcW w:w="733" w:type="dxa"/>
            <w:vMerge w:val="restart"/>
            <w:tcBorders>
              <w:top w:val="single" w:sz="4" w:space="0" w:color="000000"/>
              <w:left w:val="single" w:sz="4" w:space="0" w:color="000000"/>
              <w:right w:val="single" w:sz="4" w:space="0" w:color="000000"/>
            </w:tcBorders>
          </w:tcPr>
          <w:p w14:paraId="69C5720F" w14:textId="77777777" w:rsidR="00752F6F" w:rsidRDefault="00752F6F">
            <w:pPr>
              <w:widowControl/>
              <w:spacing w:line="68" w:lineRule="atLeast"/>
              <w:jc w:val="left"/>
              <w:rPr>
                <w:rFonts w:ascii="仿宋" w:eastAsia="仿宋" w:hAnsi="仿宋" w:cs="Arial" w:hint="eastAsia"/>
                <w:kern w:val="0"/>
                <w:sz w:val="24"/>
                <w:szCs w:val="24"/>
              </w:rPr>
            </w:pPr>
          </w:p>
          <w:p w14:paraId="56B59139" w14:textId="77777777" w:rsidR="00752F6F" w:rsidRDefault="00752F6F">
            <w:pPr>
              <w:widowControl/>
              <w:spacing w:line="68" w:lineRule="atLeast"/>
              <w:jc w:val="left"/>
              <w:rPr>
                <w:rFonts w:ascii="仿宋" w:eastAsia="仿宋" w:hAnsi="仿宋" w:cs="Arial" w:hint="eastAsia"/>
                <w:kern w:val="0"/>
                <w:sz w:val="24"/>
                <w:szCs w:val="24"/>
              </w:rPr>
            </w:pPr>
          </w:p>
          <w:p w14:paraId="0E912781" w14:textId="77777777" w:rsidR="00752F6F" w:rsidRDefault="00752F6F">
            <w:pPr>
              <w:widowControl/>
              <w:spacing w:line="68" w:lineRule="atLeast"/>
              <w:jc w:val="left"/>
              <w:rPr>
                <w:rFonts w:ascii="仿宋" w:eastAsia="仿宋" w:hAnsi="仿宋" w:cs="Arial" w:hint="eastAsia"/>
                <w:kern w:val="0"/>
                <w:sz w:val="24"/>
                <w:szCs w:val="24"/>
              </w:rPr>
            </w:pPr>
          </w:p>
          <w:p w14:paraId="71A533A3" w14:textId="77777777" w:rsidR="00752F6F" w:rsidRDefault="00752F6F">
            <w:pPr>
              <w:widowControl/>
              <w:spacing w:line="68" w:lineRule="atLeast"/>
              <w:jc w:val="left"/>
              <w:rPr>
                <w:rFonts w:ascii="仿宋" w:eastAsia="仿宋" w:hAnsi="仿宋" w:cs="Arial" w:hint="eastAsia"/>
                <w:kern w:val="0"/>
                <w:sz w:val="24"/>
                <w:szCs w:val="24"/>
              </w:rPr>
            </w:pPr>
          </w:p>
          <w:p w14:paraId="69BAE1C2" w14:textId="77777777" w:rsidR="00752F6F" w:rsidRDefault="00752F6F">
            <w:pPr>
              <w:widowControl/>
              <w:spacing w:line="68" w:lineRule="atLeast"/>
              <w:jc w:val="left"/>
              <w:rPr>
                <w:rFonts w:ascii="仿宋" w:eastAsia="仿宋" w:hAnsi="仿宋" w:cs="Arial" w:hint="eastAsia"/>
                <w:kern w:val="0"/>
                <w:sz w:val="24"/>
                <w:szCs w:val="24"/>
              </w:rPr>
            </w:pPr>
          </w:p>
          <w:p w14:paraId="4173BEE5" w14:textId="77777777" w:rsidR="00752F6F" w:rsidRDefault="00752F6F">
            <w:pPr>
              <w:widowControl/>
              <w:spacing w:line="68" w:lineRule="atLeast"/>
              <w:jc w:val="left"/>
              <w:rPr>
                <w:rFonts w:ascii="仿宋" w:eastAsia="仿宋" w:hAnsi="仿宋" w:cs="Arial" w:hint="eastAsia"/>
                <w:kern w:val="0"/>
                <w:sz w:val="24"/>
                <w:szCs w:val="24"/>
              </w:rPr>
            </w:pPr>
          </w:p>
          <w:p w14:paraId="106F34DB" w14:textId="77777777" w:rsidR="00752F6F" w:rsidRDefault="00752F6F">
            <w:pPr>
              <w:widowControl/>
              <w:spacing w:line="68" w:lineRule="atLeast"/>
              <w:jc w:val="left"/>
              <w:rPr>
                <w:rFonts w:ascii="仿宋" w:eastAsia="仿宋" w:hAnsi="仿宋" w:cs="Arial" w:hint="eastAsia"/>
                <w:kern w:val="0"/>
                <w:sz w:val="24"/>
                <w:szCs w:val="24"/>
              </w:rPr>
            </w:pPr>
          </w:p>
          <w:p w14:paraId="154B6AFC" w14:textId="77777777" w:rsidR="00752F6F" w:rsidRDefault="00752F6F">
            <w:pPr>
              <w:widowControl/>
              <w:spacing w:line="68" w:lineRule="atLeast"/>
              <w:jc w:val="left"/>
              <w:rPr>
                <w:rFonts w:ascii="仿宋" w:eastAsia="仿宋" w:hAnsi="仿宋" w:cs="Arial" w:hint="eastAsia"/>
                <w:kern w:val="0"/>
                <w:sz w:val="24"/>
                <w:szCs w:val="24"/>
              </w:rPr>
            </w:pPr>
          </w:p>
          <w:p w14:paraId="09540C95" w14:textId="77777777" w:rsidR="00752F6F" w:rsidRDefault="00752F6F">
            <w:pPr>
              <w:widowControl/>
              <w:spacing w:line="68" w:lineRule="atLeast"/>
              <w:jc w:val="left"/>
              <w:rPr>
                <w:rFonts w:ascii="仿宋" w:eastAsia="仿宋" w:hAnsi="仿宋" w:cs="Arial" w:hint="eastAsia"/>
                <w:kern w:val="0"/>
                <w:sz w:val="24"/>
                <w:szCs w:val="24"/>
              </w:rPr>
            </w:pPr>
          </w:p>
          <w:p w14:paraId="78736B18" w14:textId="77777777" w:rsidR="00752F6F" w:rsidRDefault="00752F6F">
            <w:pPr>
              <w:widowControl/>
              <w:spacing w:line="68" w:lineRule="atLeast"/>
              <w:jc w:val="left"/>
              <w:rPr>
                <w:rFonts w:ascii="仿宋" w:eastAsia="仿宋" w:hAnsi="仿宋" w:cs="Arial" w:hint="eastAsia"/>
                <w:kern w:val="0"/>
                <w:sz w:val="24"/>
                <w:szCs w:val="24"/>
              </w:rPr>
            </w:pPr>
          </w:p>
          <w:p w14:paraId="7EE0760B"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投入（15</w:t>
            </w:r>
            <w:r>
              <w:rPr>
                <w:rFonts w:ascii="仿宋" w:eastAsia="仿宋" w:hAnsi="仿宋" w:cs="Arial" w:hint="eastAsia"/>
                <w:kern w:val="0"/>
                <w:sz w:val="24"/>
                <w:szCs w:val="24"/>
              </w:rPr>
              <w:t>分</w:t>
            </w:r>
            <w:r>
              <w:rPr>
                <w:rFonts w:ascii="仿宋" w:eastAsia="仿宋" w:hAnsi="仿宋" w:cs="Arial"/>
                <w:kern w:val="0"/>
                <w:sz w:val="24"/>
                <w:szCs w:val="24"/>
              </w:rPr>
              <w:t>）</w:t>
            </w:r>
          </w:p>
          <w:p w14:paraId="041D8DCB" w14:textId="77777777" w:rsidR="00752F6F" w:rsidRDefault="00752F6F">
            <w:pPr>
              <w:widowControl/>
              <w:spacing w:line="68" w:lineRule="atLeast"/>
              <w:jc w:val="left"/>
              <w:rPr>
                <w:rFonts w:ascii="仿宋" w:eastAsia="仿宋" w:hAnsi="仿宋" w:cs="Arial" w:hint="eastAsia"/>
                <w:kern w:val="0"/>
                <w:sz w:val="24"/>
                <w:szCs w:val="24"/>
              </w:rPr>
            </w:pPr>
          </w:p>
          <w:p w14:paraId="7CD559B8" w14:textId="77777777" w:rsidR="00752F6F" w:rsidRDefault="00752F6F">
            <w:pPr>
              <w:widowControl/>
              <w:spacing w:line="68" w:lineRule="atLeast"/>
              <w:jc w:val="left"/>
              <w:rPr>
                <w:rFonts w:ascii="仿宋" w:eastAsia="仿宋" w:hAnsi="仿宋" w:cs="Arial" w:hint="eastAsia"/>
                <w:kern w:val="0"/>
                <w:sz w:val="24"/>
                <w:szCs w:val="24"/>
              </w:rPr>
            </w:pPr>
          </w:p>
          <w:p w14:paraId="1FDFD1CB" w14:textId="77777777" w:rsidR="00752F6F" w:rsidRDefault="00752F6F">
            <w:pPr>
              <w:widowControl/>
              <w:spacing w:line="68" w:lineRule="atLeast"/>
              <w:jc w:val="left"/>
              <w:rPr>
                <w:rFonts w:ascii="仿宋" w:eastAsia="仿宋" w:hAnsi="仿宋" w:cs="Arial" w:hint="eastAsia"/>
                <w:kern w:val="0"/>
                <w:sz w:val="24"/>
                <w:szCs w:val="24"/>
              </w:rPr>
            </w:pPr>
          </w:p>
          <w:p w14:paraId="68802C97" w14:textId="77777777" w:rsidR="00752F6F" w:rsidRDefault="00752F6F">
            <w:pPr>
              <w:widowControl/>
              <w:spacing w:line="68" w:lineRule="atLeast"/>
              <w:jc w:val="left"/>
              <w:rPr>
                <w:rFonts w:ascii="仿宋" w:eastAsia="仿宋" w:hAnsi="仿宋" w:cs="Arial" w:hint="eastAsia"/>
                <w:kern w:val="0"/>
                <w:sz w:val="24"/>
                <w:szCs w:val="24"/>
              </w:rPr>
            </w:pPr>
          </w:p>
          <w:p w14:paraId="183B8083" w14:textId="77777777" w:rsidR="00752F6F" w:rsidRDefault="00752F6F">
            <w:pPr>
              <w:widowControl/>
              <w:spacing w:line="68" w:lineRule="atLeast"/>
              <w:jc w:val="left"/>
              <w:rPr>
                <w:rFonts w:ascii="仿宋" w:eastAsia="仿宋" w:hAnsi="仿宋" w:cs="Arial" w:hint="eastAsia"/>
                <w:kern w:val="0"/>
                <w:sz w:val="24"/>
                <w:szCs w:val="24"/>
              </w:rPr>
            </w:pPr>
          </w:p>
          <w:p w14:paraId="3DBDEB65" w14:textId="77777777" w:rsidR="00752F6F" w:rsidRDefault="00752F6F">
            <w:pPr>
              <w:widowControl/>
              <w:spacing w:line="68" w:lineRule="atLeast"/>
              <w:jc w:val="left"/>
              <w:rPr>
                <w:rFonts w:ascii="仿宋" w:eastAsia="仿宋" w:hAnsi="仿宋" w:cs="Arial" w:hint="eastAsia"/>
                <w:kern w:val="0"/>
                <w:sz w:val="24"/>
                <w:szCs w:val="24"/>
              </w:rPr>
            </w:pPr>
          </w:p>
          <w:p w14:paraId="39FC584F" w14:textId="77777777" w:rsidR="00752F6F" w:rsidRDefault="00752F6F">
            <w:pPr>
              <w:widowControl/>
              <w:spacing w:line="68" w:lineRule="atLeast"/>
              <w:jc w:val="left"/>
              <w:rPr>
                <w:rFonts w:ascii="仿宋" w:eastAsia="仿宋" w:hAnsi="仿宋" w:cs="Arial" w:hint="eastAsia"/>
                <w:kern w:val="0"/>
                <w:sz w:val="24"/>
                <w:szCs w:val="24"/>
              </w:rPr>
            </w:pPr>
          </w:p>
          <w:p w14:paraId="20D4A7A4" w14:textId="77777777" w:rsidR="00752F6F" w:rsidRDefault="00752F6F">
            <w:pPr>
              <w:widowControl/>
              <w:spacing w:line="68" w:lineRule="atLeast"/>
              <w:jc w:val="left"/>
              <w:rPr>
                <w:rFonts w:ascii="仿宋" w:eastAsia="仿宋" w:hAnsi="仿宋" w:cs="Arial" w:hint="eastAsia"/>
                <w:kern w:val="0"/>
                <w:sz w:val="24"/>
                <w:szCs w:val="24"/>
              </w:rPr>
            </w:pPr>
          </w:p>
          <w:p w14:paraId="1930095C" w14:textId="77777777" w:rsidR="00752F6F" w:rsidRDefault="00752F6F">
            <w:pPr>
              <w:widowControl/>
              <w:spacing w:line="68" w:lineRule="atLeast"/>
              <w:jc w:val="left"/>
              <w:rPr>
                <w:rFonts w:ascii="仿宋" w:eastAsia="仿宋" w:hAnsi="仿宋" w:cs="Arial" w:hint="eastAsia"/>
                <w:kern w:val="0"/>
                <w:sz w:val="24"/>
                <w:szCs w:val="24"/>
              </w:rPr>
            </w:pPr>
          </w:p>
          <w:p w14:paraId="62E3CC89" w14:textId="77777777" w:rsidR="00752F6F" w:rsidRDefault="00752F6F">
            <w:pPr>
              <w:widowControl/>
              <w:spacing w:line="68" w:lineRule="atLeast"/>
              <w:jc w:val="left"/>
              <w:rPr>
                <w:rFonts w:ascii="仿宋" w:eastAsia="仿宋" w:hAnsi="仿宋" w:cs="Arial" w:hint="eastAsia"/>
                <w:kern w:val="0"/>
                <w:sz w:val="24"/>
                <w:szCs w:val="24"/>
              </w:rPr>
            </w:pPr>
          </w:p>
          <w:p w14:paraId="582A93DC" w14:textId="77777777" w:rsidR="00752F6F" w:rsidRDefault="00752F6F">
            <w:pPr>
              <w:widowControl/>
              <w:spacing w:line="68" w:lineRule="atLeast"/>
              <w:jc w:val="left"/>
              <w:rPr>
                <w:rFonts w:ascii="仿宋" w:eastAsia="仿宋" w:hAnsi="仿宋" w:cs="Arial" w:hint="eastAsia"/>
                <w:kern w:val="0"/>
                <w:sz w:val="24"/>
                <w:szCs w:val="24"/>
              </w:rPr>
            </w:pPr>
          </w:p>
          <w:p w14:paraId="747754EE" w14:textId="77777777" w:rsidR="00752F6F" w:rsidRDefault="00752F6F">
            <w:pPr>
              <w:widowControl/>
              <w:spacing w:line="68" w:lineRule="atLeast"/>
              <w:jc w:val="left"/>
              <w:rPr>
                <w:rFonts w:ascii="仿宋" w:eastAsia="仿宋" w:hAnsi="仿宋" w:cs="Arial" w:hint="eastAsia"/>
                <w:kern w:val="0"/>
                <w:sz w:val="24"/>
                <w:szCs w:val="24"/>
              </w:rPr>
            </w:pPr>
          </w:p>
          <w:p w14:paraId="210231E3" w14:textId="77777777" w:rsidR="00752F6F" w:rsidRDefault="00752F6F">
            <w:pPr>
              <w:widowControl/>
              <w:spacing w:line="68" w:lineRule="atLeast"/>
              <w:jc w:val="left"/>
              <w:rPr>
                <w:rFonts w:ascii="仿宋" w:eastAsia="仿宋" w:hAnsi="仿宋" w:cs="Arial" w:hint="eastAsia"/>
                <w:kern w:val="0"/>
                <w:sz w:val="24"/>
                <w:szCs w:val="24"/>
              </w:rPr>
            </w:pPr>
          </w:p>
          <w:p w14:paraId="6C409C04" w14:textId="77777777" w:rsidR="00752F6F" w:rsidRDefault="00752F6F">
            <w:pPr>
              <w:widowControl/>
              <w:spacing w:line="68" w:lineRule="atLeast"/>
              <w:jc w:val="left"/>
              <w:rPr>
                <w:rFonts w:ascii="仿宋" w:eastAsia="仿宋" w:hAnsi="仿宋" w:cs="Arial" w:hint="eastAsia"/>
                <w:kern w:val="0"/>
                <w:sz w:val="24"/>
                <w:szCs w:val="24"/>
              </w:rPr>
            </w:pPr>
          </w:p>
          <w:p w14:paraId="05AE3B65" w14:textId="77777777" w:rsidR="00752F6F" w:rsidRDefault="00752F6F">
            <w:pPr>
              <w:widowControl/>
              <w:spacing w:line="68" w:lineRule="atLeast"/>
              <w:jc w:val="left"/>
              <w:rPr>
                <w:rFonts w:ascii="仿宋" w:eastAsia="仿宋" w:hAnsi="仿宋" w:cs="Arial" w:hint="eastAsia"/>
                <w:kern w:val="0"/>
                <w:sz w:val="24"/>
                <w:szCs w:val="24"/>
              </w:rPr>
            </w:pPr>
          </w:p>
          <w:p w14:paraId="08294193" w14:textId="77777777" w:rsidR="00752F6F" w:rsidRDefault="00752F6F">
            <w:pPr>
              <w:widowControl/>
              <w:spacing w:line="68" w:lineRule="atLeast"/>
              <w:jc w:val="left"/>
              <w:rPr>
                <w:rFonts w:ascii="仿宋" w:eastAsia="仿宋" w:hAnsi="仿宋" w:cs="Arial" w:hint="eastAsia"/>
                <w:kern w:val="0"/>
                <w:sz w:val="24"/>
                <w:szCs w:val="24"/>
              </w:rPr>
            </w:pPr>
          </w:p>
          <w:p w14:paraId="31C55A80" w14:textId="77777777" w:rsidR="00752F6F" w:rsidRDefault="00752F6F">
            <w:pPr>
              <w:widowControl/>
              <w:spacing w:line="68" w:lineRule="atLeast"/>
              <w:jc w:val="left"/>
              <w:rPr>
                <w:rFonts w:ascii="仿宋" w:eastAsia="仿宋" w:hAnsi="仿宋" w:cs="Arial" w:hint="eastAsia"/>
                <w:kern w:val="0"/>
                <w:sz w:val="24"/>
                <w:szCs w:val="24"/>
              </w:rPr>
            </w:pPr>
          </w:p>
          <w:p w14:paraId="7B2DBFE1" w14:textId="77777777" w:rsidR="00752F6F" w:rsidRDefault="00752F6F">
            <w:pPr>
              <w:widowControl/>
              <w:spacing w:line="68" w:lineRule="atLeast"/>
              <w:jc w:val="left"/>
              <w:rPr>
                <w:rFonts w:ascii="仿宋" w:eastAsia="仿宋" w:hAnsi="仿宋" w:cs="Arial" w:hint="eastAsia"/>
                <w:kern w:val="0"/>
                <w:sz w:val="24"/>
                <w:szCs w:val="24"/>
              </w:rPr>
            </w:pPr>
          </w:p>
          <w:p w14:paraId="252723B6" w14:textId="77777777" w:rsidR="00752F6F" w:rsidRDefault="00752F6F">
            <w:pPr>
              <w:widowControl/>
              <w:spacing w:line="68" w:lineRule="atLeast"/>
              <w:jc w:val="left"/>
              <w:rPr>
                <w:rFonts w:ascii="仿宋" w:eastAsia="仿宋" w:hAnsi="仿宋" w:cs="Arial" w:hint="eastAsia"/>
                <w:kern w:val="0"/>
                <w:sz w:val="24"/>
                <w:szCs w:val="24"/>
              </w:rPr>
            </w:pPr>
          </w:p>
          <w:p w14:paraId="6991B21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投入（15</w:t>
            </w:r>
            <w:r>
              <w:rPr>
                <w:rFonts w:ascii="仿宋" w:eastAsia="仿宋" w:hAnsi="仿宋" w:cs="Arial" w:hint="eastAsia"/>
                <w:kern w:val="0"/>
                <w:sz w:val="24"/>
                <w:szCs w:val="24"/>
              </w:rPr>
              <w:lastRenderedPageBreak/>
              <w:t>分</w:t>
            </w:r>
            <w:r>
              <w:rPr>
                <w:rFonts w:ascii="仿宋" w:eastAsia="仿宋" w:hAnsi="仿宋" w:cs="Arial"/>
                <w:kern w:val="0"/>
                <w:sz w:val="24"/>
                <w:szCs w:val="24"/>
              </w:rPr>
              <w:t>）</w:t>
            </w:r>
          </w:p>
        </w:tc>
        <w:tc>
          <w:tcPr>
            <w:tcW w:w="803" w:type="dxa"/>
            <w:vMerge w:val="restart"/>
            <w:tcBorders>
              <w:top w:val="single" w:sz="4" w:space="0" w:color="000000"/>
              <w:left w:val="single" w:sz="4" w:space="0" w:color="000000"/>
              <w:right w:val="single" w:sz="4" w:space="0" w:color="000000"/>
            </w:tcBorders>
          </w:tcPr>
          <w:p w14:paraId="156A064F" w14:textId="77777777" w:rsidR="00752F6F" w:rsidRDefault="00752F6F">
            <w:pPr>
              <w:widowControl/>
              <w:spacing w:line="240" w:lineRule="exact"/>
              <w:jc w:val="left"/>
              <w:rPr>
                <w:rFonts w:ascii="仿宋" w:eastAsia="仿宋" w:hAnsi="仿宋" w:cs="Arial" w:hint="eastAsia"/>
                <w:kern w:val="0"/>
                <w:sz w:val="24"/>
                <w:szCs w:val="24"/>
              </w:rPr>
            </w:pPr>
          </w:p>
          <w:p w14:paraId="1F80B208" w14:textId="77777777" w:rsidR="00752F6F" w:rsidRDefault="00752F6F">
            <w:pPr>
              <w:widowControl/>
              <w:spacing w:line="240" w:lineRule="exact"/>
              <w:jc w:val="left"/>
              <w:rPr>
                <w:rFonts w:ascii="仿宋" w:eastAsia="仿宋" w:hAnsi="仿宋" w:cs="Arial" w:hint="eastAsia"/>
                <w:kern w:val="0"/>
                <w:sz w:val="24"/>
                <w:szCs w:val="24"/>
              </w:rPr>
            </w:pPr>
          </w:p>
          <w:p w14:paraId="273AB2A0" w14:textId="77777777" w:rsidR="00752F6F" w:rsidRDefault="00752F6F">
            <w:pPr>
              <w:widowControl/>
              <w:spacing w:line="240" w:lineRule="exact"/>
              <w:jc w:val="left"/>
              <w:rPr>
                <w:rFonts w:ascii="仿宋" w:eastAsia="仿宋" w:hAnsi="仿宋" w:cs="Arial" w:hint="eastAsia"/>
                <w:kern w:val="0"/>
                <w:sz w:val="24"/>
                <w:szCs w:val="24"/>
              </w:rPr>
            </w:pPr>
          </w:p>
          <w:p w14:paraId="11E3762D" w14:textId="77777777" w:rsidR="00752F6F" w:rsidRDefault="00752F6F">
            <w:pPr>
              <w:widowControl/>
              <w:spacing w:line="240" w:lineRule="exact"/>
              <w:jc w:val="left"/>
              <w:rPr>
                <w:rFonts w:ascii="仿宋" w:eastAsia="仿宋" w:hAnsi="仿宋" w:cs="Arial" w:hint="eastAsia"/>
                <w:kern w:val="0"/>
                <w:sz w:val="24"/>
                <w:szCs w:val="24"/>
              </w:rPr>
            </w:pPr>
          </w:p>
          <w:p w14:paraId="5E394BDA" w14:textId="77777777" w:rsidR="00752F6F" w:rsidRDefault="00752F6F">
            <w:pPr>
              <w:widowControl/>
              <w:spacing w:line="240" w:lineRule="exact"/>
              <w:jc w:val="left"/>
              <w:rPr>
                <w:rFonts w:ascii="仿宋" w:eastAsia="仿宋" w:hAnsi="仿宋" w:cs="Arial" w:hint="eastAsia"/>
                <w:kern w:val="0"/>
                <w:sz w:val="24"/>
                <w:szCs w:val="24"/>
              </w:rPr>
            </w:pPr>
          </w:p>
          <w:p w14:paraId="571FCA2D" w14:textId="77777777" w:rsidR="00752F6F" w:rsidRDefault="00752F6F">
            <w:pPr>
              <w:widowControl/>
              <w:spacing w:line="240" w:lineRule="exact"/>
              <w:jc w:val="left"/>
              <w:rPr>
                <w:rFonts w:ascii="仿宋" w:eastAsia="仿宋" w:hAnsi="仿宋" w:cs="Arial" w:hint="eastAsia"/>
                <w:kern w:val="0"/>
                <w:sz w:val="24"/>
                <w:szCs w:val="24"/>
              </w:rPr>
            </w:pPr>
          </w:p>
          <w:p w14:paraId="799C1455" w14:textId="77777777" w:rsidR="00752F6F" w:rsidRDefault="00752F6F">
            <w:pPr>
              <w:widowControl/>
              <w:spacing w:line="240" w:lineRule="exact"/>
              <w:jc w:val="left"/>
              <w:rPr>
                <w:rFonts w:ascii="仿宋" w:eastAsia="仿宋" w:hAnsi="仿宋" w:cs="Arial" w:hint="eastAsia"/>
                <w:kern w:val="0"/>
                <w:sz w:val="24"/>
                <w:szCs w:val="24"/>
              </w:rPr>
            </w:pPr>
          </w:p>
          <w:p w14:paraId="73C507F9" w14:textId="77777777" w:rsidR="00752F6F" w:rsidRDefault="00752F6F">
            <w:pPr>
              <w:widowControl/>
              <w:spacing w:line="240" w:lineRule="exact"/>
              <w:jc w:val="left"/>
              <w:rPr>
                <w:rFonts w:ascii="仿宋" w:eastAsia="仿宋" w:hAnsi="仿宋" w:cs="Arial" w:hint="eastAsia"/>
                <w:kern w:val="0"/>
                <w:sz w:val="24"/>
                <w:szCs w:val="24"/>
              </w:rPr>
            </w:pPr>
          </w:p>
          <w:p w14:paraId="68CFC87A" w14:textId="77777777" w:rsidR="00752F6F" w:rsidRDefault="00752F6F">
            <w:pPr>
              <w:widowControl/>
              <w:spacing w:line="240" w:lineRule="exact"/>
              <w:jc w:val="left"/>
              <w:rPr>
                <w:rFonts w:ascii="仿宋" w:eastAsia="仿宋" w:hAnsi="仿宋" w:cs="Arial" w:hint="eastAsia"/>
                <w:kern w:val="0"/>
                <w:sz w:val="24"/>
                <w:szCs w:val="24"/>
              </w:rPr>
            </w:pPr>
          </w:p>
          <w:p w14:paraId="064AD541" w14:textId="77777777" w:rsidR="00752F6F" w:rsidRDefault="00752F6F">
            <w:pPr>
              <w:widowControl/>
              <w:spacing w:line="240" w:lineRule="exact"/>
              <w:jc w:val="left"/>
              <w:rPr>
                <w:rFonts w:ascii="仿宋" w:eastAsia="仿宋" w:hAnsi="仿宋" w:cs="Arial" w:hint="eastAsia"/>
                <w:kern w:val="0"/>
                <w:sz w:val="24"/>
                <w:szCs w:val="24"/>
              </w:rPr>
            </w:pPr>
          </w:p>
          <w:p w14:paraId="7FE3C56C" w14:textId="77777777" w:rsidR="00752F6F" w:rsidRDefault="00752F6F">
            <w:pPr>
              <w:widowControl/>
              <w:spacing w:line="240" w:lineRule="exact"/>
              <w:jc w:val="left"/>
              <w:rPr>
                <w:rFonts w:ascii="仿宋" w:eastAsia="仿宋" w:hAnsi="仿宋" w:cs="Arial" w:hint="eastAsia"/>
                <w:kern w:val="0"/>
                <w:sz w:val="24"/>
                <w:szCs w:val="24"/>
              </w:rPr>
            </w:pPr>
          </w:p>
          <w:p w14:paraId="6019C3E2" w14:textId="77777777" w:rsidR="00752F6F" w:rsidRDefault="00752F6F">
            <w:pPr>
              <w:widowControl/>
              <w:spacing w:line="240" w:lineRule="exact"/>
              <w:jc w:val="left"/>
              <w:rPr>
                <w:rFonts w:ascii="仿宋" w:eastAsia="仿宋" w:hAnsi="仿宋" w:cs="Arial" w:hint="eastAsia"/>
                <w:kern w:val="0"/>
                <w:sz w:val="24"/>
                <w:szCs w:val="24"/>
              </w:rPr>
            </w:pPr>
          </w:p>
          <w:p w14:paraId="577C947C" w14:textId="77777777" w:rsidR="00752F6F" w:rsidRDefault="00752F6F">
            <w:pPr>
              <w:widowControl/>
              <w:spacing w:line="240" w:lineRule="exact"/>
              <w:jc w:val="left"/>
              <w:rPr>
                <w:rFonts w:ascii="仿宋" w:eastAsia="仿宋" w:hAnsi="仿宋" w:cs="Arial" w:hint="eastAsia"/>
                <w:kern w:val="0"/>
                <w:sz w:val="24"/>
                <w:szCs w:val="24"/>
              </w:rPr>
            </w:pPr>
          </w:p>
          <w:p w14:paraId="61593BA7"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目标设定</w:t>
            </w:r>
          </w:p>
          <w:p w14:paraId="37525102"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5分</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auto"/>
              <w:right w:val="single" w:sz="4" w:space="0" w:color="auto"/>
            </w:tcBorders>
          </w:tcPr>
          <w:p w14:paraId="6BFA7D4F"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职责明确（</w:t>
            </w:r>
            <w:r>
              <w:rPr>
                <w:rFonts w:ascii="仿宋" w:eastAsia="仿宋" w:hAnsi="仿宋" w:cs="Arial" w:hint="eastAsia"/>
                <w:kern w:val="0"/>
                <w:sz w:val="24"/>
                <w:szCs w:val="24"/>
              </w:rPr>
              <w:t>1分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tcPr>
          <w:p w14:paraId="03A639C3"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部门的职责设定是否符合“三定”方案中所赋予的职责</w:t>
            </w:r>
            <w:r>
              <w:rPr>
                <w:rFonts w:ascii="仿宋" w:eastAsia="仿宋" w:hAnsi="仿宋" w:cs="Arial" w:hint="eastAsia"/>
                <w:kern w:val="0"/>
                <w:sz w:val="24"/>
                <w:szCs w:val="24"/>
              </w:rPr>
              <w:t>和年度承担的重点工作</w:t>
            </w:r>
            <w:r>
              <w:rPr>
                <w:rFonts w:ascii="仿宋" w:eastAsia="仿宋" w:hAnsi="仿宋" w:cs="Arial"/>
                <w:kern w:val="0"/>
                <w:sz w:val="24"/>
                <w:szCs w:val="24"/>
              </w:rPr>
              <w:t>，用以反映和评价部门工作的目的性与计划性。</w:t>
            </w:r>
          </w:p>
        </w:tc>
        <w:tc>
          <w:tcPr>
            <w:tcW w:w="3780" w:type="dxa"/>
            <w:tcBorders>
              <w:top w:val="single" w:sz="4" w:space="0" w:color="000000"/>
              <w:left w:val="single" w:sz="4" w:space="0" w:color="auto"/>
              <w:bottom w:val="single" w:sz="4" w:space="0" w:color="auto"/>
              <w:right w:val="single" w:sz="4" w:space="0" w:color="auto"/>
            </w:tcBorders>
          </w:tcPr>
          <w:p w14:paraId="1B029D46"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w:t>
            </w:r>
            <w:r>
              <w:rPr>
                <w:rFonts w:ascii="仿宋" w:eastAsia="仿宋" w:hAnsi="仿宋" w:cs="Arial" w:hint="eastAsia"/>
                <w:kern w:val="0"/>
                <w:sz w:val="24"/>
                <w:szCs w:val="24"/>
              </w:rPr>
              <w:t>1分</w:t>
            </w:r>
            <w:r>
              <w:rPr>
                <w:rFonts w:ascii="仿宋" w:eastAsia="仿宋" w:hAnsi="仿宋" w:cs="Arial"/>
                <w:kern w:val="0"/>
                <w:sz w:val="24"/>
                <w:szCs w:val="24"/>
              </w:rPr>
              <w:t>）；</w:t>
            </w:r>
          </w:p>
          <w:p w14:paraId="4E583915"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不符合（</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auto"/>
              <w:right w:val="single" w:sz="4" w:space="0" w:color="000000"/>
            </w:tcBorders>
          </w:tcPr>
          <w:p w14:paraId="2992AC61" w14:textId="77777777" w:rsidR="00752F6F" w:rsidRDefault="00752F6F">
            <w:pPr>
              <w:widowControl/>
              <w:spacing w:line="68" w:lineRule="atLeast"/>
              <w:jc w:val="center"/>
              <w:rPr>
                <w:rFonts w:ascii="宋体" w:eastAsia="仿宋" w:hAnsi="宋体" w:cs="Arial" w:hint="eastAsia"/>
                <w:kern w:val="0"/>
                <w:sz w:val="20"/>
                <w:szCs w:val="24"/>
              </w:rPr>
            </w:pPr>
          </w:p>
          <w:p w14:paraId="7AEBBF3B"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1</w:t>
            </w:r>
          </w:p>
        </w:tc>
      </w:tr>
      <w:tr w:rsidR="00752F6F" w14:paraId="54DF5A4A" w14:textId="77777777">
        <w:trPr>
          <w:trHeight w:val="1919"/>
          <w:jc w:val="center"/>
        </w:trPr>
        <w:tc>
          <w:tcPr>
            <w:tcW w:w="733" w:type="dxa"/>
            <w:vMerge/>
            <w:tcBorders>
              <w:left w:val="single" w:sz="4" w:space="0" w:color="000000"/>
              <w:right w:val="single" w:sz="4" w:space="0" w:color="000000"/>
            </w:tcBorders>
            <w:vAlign w:val="center"/>
          </w:tcPr>
          <w:p w14:paraId="3DBEAC1F"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56DDF0AF"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1B675819"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活动合</w:t>
            </w:r>
            <w:proofErr w:type="gramStart"/>
            <w:r>
              <w:rPr>
                <w:rFonts w:ascii="仿宋" w:eastAsia="仿宋" w:hAnsi="仿宋" w:cs="Arial"/>
                <w:kern w:val="0"/>
                <w:sz w:val="24"/>
                <w:szCs w:val="24"/>
              </w:rPr>
              <w:t>规</w:t>
            </w:r>
            <w:proofErr w:type="gramEnd"/>
            <w:r>
              <w:rPr>
                <w:rFonts w:ascii="仿宋" w:eastAsia="仿宋" w:hAnsi="仿宋" w:cs="Arial"/>
                <w:kern w:val="0"/>
                <w:sz w:val="24"/>
                <w:szCs w:val="24"/>
              </w:rPr>
              <w:t>性（</w:t>
            </w:r>
            <w:r>
              <w:rPr>
                <w:rFonts w:ascii="仿宋" w:eastAsia="仿宋" w:hAnsi="仿宋" w:cs="Arial" w:hint="eastAsia"/>
                <w:kern w:val="0"/>
                <w:sz w:val="24"/>
                <w:szCs w:val="24"/>
              </w:rPr>
              <w:t>1分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66AB677C"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部门的活动是否在职责范围之内并符合部门中长期规划，用以反映和评价部门活动目标与部门履职、年度工作任务的相符性情况。</w:t>
            </w:r>
          </w:p>
          <w:p w14:paraId="58ADE6EC"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2280D4A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部门活动的设定在部门所确定的职责范围之内；</w:t>
            </w:r>
          </w:p>
          <w:p w14:paraId="436A301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部门活动符合</w:t>
            </w:r>
            <w:r>
              <w:rPr>
                <w:rFonts w:ascii="仿宋" w:eastAsia="仿宋" w:hAnsi="仿宋" w:cs="Arial" w:hint="eastAsia"/>
                <w:kern w:val="0"/>
                <w:sz w:val="24"/>
                <w:szCs w:val="24"/>
              </w:rPr>
              <w:t>市</w:t>
            </w:r>
            <w:r>
              <w:rPr>
                <w:rFonts w:ascii="仿宋" w:eastAsia="仿宋" w:hAnsi="仿宋" w:cs="Arial"/>
                <w:kern w:val="0"/>
                <w:sz w:val="24"/>
                <w:szCs w:val="24"/>
              </w:rPr>
              <w:t>委、</w:t>
            </w:r>
            <w:r>
              <w:rPr>
                <w:rFonts w:ascii="仿宋" w:eastAsia="仿宋" w:hAnsi="仿宋" w:cs="Arial" w:hint="eastAsia"/>
                <w:kern w:val="0"/>
                <w:sz w:val="24"/>
                <w:szCs w:val="24"/>
              </w:rPr>
              <w:t>市</w:t>
            </w:r>
            <w:r>
              <w:rPr>
                <w:rFonts w:ascii="仿宋" w:eastAsia="仿宋" w:hAnsi="仿宋" w:cs="Arial"/>
                <w:kern w:val="0"/>
                <w:sz w:val="24"/>
                <w:szCs w:val="24"/>
              </w:rPr>
              <w:t>政府的发展规划及本部门的年度工作安排与发展规划。</w:t>
            </w:r>
          </w:p>
        </w:tc>
        <w:tc>
          <w:tcPr>
            <w:tcW w:w="3780" w:type="dxa"/>
            <w:tcBorders>
              <w:top w:val="single" w:sz="4" w:space="0" w:color="000000"/>
              <w:left w:val="single" w:sz="4" w:space="0" w:color="auto"/>
              <w:bottom w:val="single" w:sz="4" w:space="0" w:color="auto"/>
              <w:right w:val="single" w:sz="4" w:space="0" w:color="auto"/>
            </w:tcBorders>
            <w:vAlign w:val="center"/>
          </w:tcPr>
          <w:p w14:paraId="5BC3585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1分</w:t>
            </w:r>
            <w:r>
              <w:rPr>
                <w:rFonts w:ascii="仿宋" w:eastAsia="仿宋" w:hAnsi="仿宋" w:cs="Arial"/>
                <w:kern w:val="0"/>
                <w:sz w:val="24"/>
                <w:szCs w:val="24"/>
              </w:rPr>
              <w:t>）；</w:t>
            </w:r>
          </w:p>
          <w:p w14:paraId="701FE83A"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其中一项不符合（</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auto"/>
              <w:right w:val="single" w:sz="4" w:space="0" w:color="000000"/>
            </w:tcBorders>
            <w:vAlign w:val="center"/>
          </w:tcPr>
          <w:p w14:paraId="131CD9E1"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1</w:t>
            </w:r>
          </w:p>
        </w:tc>
      </w:tr>
      <w:tr w:rsidR="00752F6F" w14:paraId="2EEF4AB6" w14:textId="77777777">
        <w:trPr>
          <w:trHeight w:val="1832"/>
          <w:jc w:val="center"/>
        </w:trPr>
        <w:tc>
          <w:tcPr>
            <w:tcW w:w="733" w:type="dxa"/>
            <w:vMerge/>
            <w:tcBorders>
              <w:left w:val="single" w:sz="4" w:space="0" w:color="000000"/>
              <w:right w:val="single" w:sz="4" w:space="0" w:color="000000"/>
            </w:tcBorders>
            <w:vAlign w:val="center"/>
          </w:tcPr>
          <w:p w14:paraId="1797A2A6"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2F478502"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65C67B3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活动合理性（</w:t>
            </w:r>
            <w:r>
              <w:rPr>
                <w:rFonts w:ascii="仿宋" w:eastAsia="仿宋" w:hAnsi="仿宋" w:cs="Arial" w:hint="eastAsia"/>
                <w:kern w:val="0"/>
                <w:sz w:val="24"/>
                <w:szCs w:val="24"/>
              </w:rPr>
              <w:t>1分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0A72A104"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部门所设立的活动是否明确合理、活动的关键性指标设置是否可衡量，用以反映和评价部门活动目标设定的合理性。</w:t>
            </w:r>
          </w:p>
          <w:p w14:paraId="6A97BF5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5A95335E"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活动目标的设定是可量化的，可通过清晰、可衡量的关键指标</w:t>
            </w:r>
            <w:proofErr w:type="gramStart"/>
            <w:r>
              <w:rPr>
                <w:rFonts w:ascii="仿宋" w:eastAsia="仿宋" w:hAnsi="仿宋" w:cs="Arial"/>
                <w:kern w:val="0"/>
                <w:sz w:val="24"/>
                <w:szCs w:val="24"/>
              </w:rPr>
              <w:t>值予以</w:t>
            </w:r>
            <w:proofErr w:type="gramEnd"/>
            <w:r>
              <w:rPr>
                <w:rFonts w:ascii="仿宋" w:eastAsia="仿宋" w:hAnsi="仿宋" w:cs="Arial"/>
                <w:kern w:val="0"/>
                <w:sz w:val="24"/>
                <w:szCs w:val="24"/>
              </w:rPr>
              <w:t>体现；</w:t>
            </w:r>
          </w:p>
          <w:p w14:paraId="28E07C29"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在活动目标设定时，将关键指标明细分解为具体的达成目标与工作任务。</w:t>
            </w:r>
          </w:p>
        </w:tc>
        <w:tc>
          <w:tcPr>
            <w:tcW w:w="3780" w:type="dxa"/>
            <w:tcBorders>
              <w:top w:val="single" w:sz="4" w:space="0" w:color="000000"/>
              <w:left w:val="single" w:sz="4" w:space="0" w:color="auto"/>
              <w:bottom w:val="single" w:sz="4" w:space="0" w:color="auto"/>
              <w:right w:val="single" w:sz="4" w:space="0" w:color="auto"/>
            </w:tcBorders>
            <w:vAlign w:val="center"/>
          </w:tcPr>
          <w:p w14:paraId="4707F0A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1分</w:t>
            </w:r>
            <w:r>
              <w:rPr>
                <w:rFonts w:ascii="仿宋" w:eastAsia="仿宋" w:hAnsi="仿宋" w:cs="Arial"/>
                <w:kern w:val="0"/>
                <w:sz w:val="24"/>
                <w:szCs w:val="24"/>
              </w:rPr>
              <w:t>）；</w:t>
            </w:r>
          </w:p>
          <w:p w14:paraId="16A84CFA"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其中一项不符合（</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auto"/>
              <w:right w:val="single" w:sz="4" w:space="0" w:color="000000"/>
            </w:tcBorders>
            <w:vAlign w:val="center"/>
          </w:tcPr>
          <w:p w14:paraId="519DD488"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1</w:t>
            </w:r>
          </w:p>
        </w:tc>
      </w:tr>
      <w:tr w:rsidR="00752F6F" w14:paraId="7D4B0A1C" w14:textId="77777777">
        <w:trPr>
          <w:trHeight w:val="1234"/>
          <w:jc w:val="center"/>
        </w:trPr>
        <w:tc>
          <w:tcPr>
            <w:tcW w:w="733" w:type="dxa"/>
            <w:vMerge/>
            <w:tcBorders>
              <w:left w:val="single" w:sz="4" w:space="0" w:color="000000"/>
              <w:right w:val="single" w:sz="4" w:space="0" w:color="000000"/>
            </w:tcBorders>
            <w:vAlign w:val="center"/>
          </w:tcPr>
          <w:p w14:paraId="2D11F1C6"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2475019D"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37CB9EDB"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目标覆盖率（1分）</w:t>
            </w:r>
          </w:p>
        </w:tc>
        <w:tc>
          <w:tcPr>
            <w:tcW w:w="6554" w:type="dxa"/>
            <w:tcBorders>
              <w:top w:val="single" w:sz="4" w:space="0" w:color="000000"/>
              <w:left w:val="single" w:sz="4" w:space="0" w:color="auto"/>
              <w:bottom w:val="single" w:sz="4" w:space="0" w:color="auto"/>
              <w:right w:val="single" w:sz="4" w:space="0" w:color="auto"/>
            </w:tcBorders>
            <w:vAlign w:val="center"/>
          </w:tcPr>
          <w:p w14:paraId="199A0197"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部门年度申报绩效目标项目资金额与部门项目预算资金总额的比率，用以反映部门落实财政部门绩效目标申报要求的资金覆盖情况。</w:t>
            </w:r>
          </w:p>
          <w:p w14:paraId="443BC304"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覆盖率=实际申报绩效目标项目资金总额/部门项目预算资金总额×100%</w:t>
            </w:r>
          </w:p>
        </w:tc>
        <w:tc>
          <w:tcPr>
            <w:tcW w:w="3780" w:type="dxa"/>
            <w:tcBorders>
              <w:top w:val="single" w:sz="4" w:space="0" w:color="000000"/>
              <w:left w:val="single" w:sz="4" w:space="0" w:color="auto"/>
              <w:bottom w:val="single" w:sz="4" w:space="0" w:color="auto"/>
              <w:right w:val="single" w:sz="4" w:space="0" w:color="auto"/>
            </w:tcBorders>
            <w:vAlign w:val="center"/>
          </w:tcPr>
          <w:p w14:paraId="43B53D08"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达到目标值得1分，未达到目标值</w:t>
            </w:r>
            <w:r>
              <w:rPr>
                <w:rFonts w:ascii="仿宋" w:eastAsia="仿宋" w:hAnsi="仿宋" w:cs="宋体" w:hint="eastAsia"/>
                <w:kern w:val="0"/>
                <w:sz w:val="24"/>
                <w:szCs w:val="24"/>
              </w:rPr>
              <w:t>采用完成比率法计分：</w:t>
            </w:r>
            <w:r>
              <w:rPr>
                <w:rFonts w:ascii="仿宋" w:eastAsia="仿宋" w:hAnsi="仿宋" w:cs="Arial" w:hint="eastAsia"/>
                <w:kern w:val="0"/>
                <w:sz w:val="24"/>
                <w:szCs w:val="24"/>
              </w:rPr>
              <w:t>得分=覆盖率/目标值</w:t>
            </w:r>
            <w:r>
              <w:rPr>
                <w:rFonts w:ascii="仿宋" w:eastAsia="仿宋" w:hAnsi="仿宋" w:cs="Arial"/>
                <w:kern w:val="0"/>
                <w:sz w:val="24"/>
                <w:szCs w:val="24"/>
              </w:rPr>
              <w:t>×</w:t>
            </w:r>
            <w:r>
              <w:rPr>
                <w:rFonts w:ascii="仿宋" w:eastAsia="仿宋" w:hAnsi="仿宋" w:cs="Arial" w:hint="eastAsia"/>
                <w:kern w:val="0"/>
                <w:sz w:val="24"/>
                <w:szCs w:val="24"/>
              </w:rPr>
              <w:t>1，超过目标值不加分。</w:t>
            </w:r>
          </w:p>
        </w:tc>
        <w:tc>
          <w:tcPr>
            <w:tcW w:w="1090" w:type="dxa"/>
            <w:tcBorders>
              <w:top w:val="single" w:sz="4" w:space="0" w:color="000000"/>
              <w:left w:val="single" w:sz="4" w:space="0" w:color="auto"/>
              <w:bottom w:val="single" w:sz="4" w:space="0" w:color="auto"/>
              <w:right w:val="single" w:sz="4" w:space="0" w:color="000000"/>
            </w:tcBorders>
            <w:vAlign w:val="center"/>
          </w:tcPr>
          <w:p w14:paraId="1AF327D0" w14:textId="77777777" w:rsidR="00752F6F" w:rsidRDefault="00000000">
            <w:pPr>
              <w:widowControl/>
              <w:spacing w:line="68" w:lineRule="atLeast"/>
              <w:jc w:val="center"/>
              <w:rPr>
                <w:rFonts w:ascii="宋体" w:eastAsia="仿宋" w:hAnsi="宋体" w:cs="Arial" w:hint="eastAsia"/>
                <w:kern w:val="0"/>
                <w:sz w:val="20"/>
                <w:szCs w:val="24"/>
              </w:rPr>
            </w:pPr>
            <w:r>
              <w:rPr>
                <w:rFonts w:ascii="宋体" w:eastAsia="仿宋" w:hAnsi="宋体" w:cs="Arial" w:hint="eastAsia"/>
                <w:kern w:val="0"/>
                <w:sz w:val="20"/>
                <w:szCs w:val="24"/>
              </w:rPr>
              <w:t>1</w:t>
            </w:r>
          </w:p>
        </w:tc>
      </w:tr>
      <w:tr w:rsidR="00752F6F" w14:paraId="51A02AAA" w14:textId="77777777">
        <w:trPr>
          <w:trHeight w:val="1072"/>
          <w:jc w:val="center"/>
        </w:trPr>
        <w:tc>
          <w:tcPr>
            <w:tcW w:w="733" w:type="dxa"/>
            <w:vMerge/>
            <w:tcBorders>
              <w:left w:val="single" w:sz="4" w:space="0" w:color="000000"/>
              <w:right w:val="single" w:sz="4" w:space="0" w:color="000000"/>
            </w:tcBorders>
            <w:vAlign w:val="center"/>
          </w:tcPr>
          <w:p w14:paraId="42CFD32D"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bottom w:val="single" w:sz="4" w:space="0" w:color="000000"/>
              <w:right w:val="single" w:sz="4" w:space="0" w:color="000000"/>
            </w:tcBorders>
            <w:vAlign w:val="center"/>
          </w:tcPr>
          <w:p w14:paraId="39E53AB1"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2A096DDF"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目标管理创新（1分）</w:t>
            </w:r>
          </w:p>
        </w:tc>
        <w:tc>
          <w:tcPr>
            <w:tcW w:w="6554" w:type="dxa"/>
            <w:tcBorders>
              <w:top w:val="single" w:sz="4" w:space="0" w:color="000000"/>
              <w:left w:val="single" w:sz="4" w:space="0" w:color="auto"/>
              <w:bottom w:val="single" w:sz="4" w:space="0" w:color="auto"/>
              <w:right w:val="single" w:sz="4" w:space="0" w:color="auto"/>
            </w:tcBorders>
            <w:vAlign w:val="center"/>
          </w:tcPr>
          <w:p w14:paraId="46C8C81F"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部门编报整体绩效目标和申报项目绩效目标的数量超过规定的要求。用以反映和考核部门绩效目标管理创新工作情况。</w:t>
            </w:r>
          </w:p>
          <w:p w14:paraId="1FB22B6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项目绩效目标创新=部门绩效目标编报数量-按财政部门要求的绩效目标填报数量</w:t>
            </w:r>
          </w:p>
        </w:tc>
        <w:tc>
          <w:tcPr>
            <w:tcW w:w="3780" w:type="dxa"/>
            <w:tcBorders>
              <w:top w:val="single" w:sz="4" w:space="0" w:color="000000"/>
              <w:left w:val="single" w:sz="4" w:space="0" w:color="auto"/>
              <w:bottom w:val="single" w:sz="4" w:space="0" w:color="auto"/>
              <w:right w:val="single" w:sz="4" w:space="0" w:color="auto"/>
            </w:tcBorders>
            <w:vAlign w:val="center"/>
          </w:tcPr>
          <w:p w14:paraId="1136BAC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每超过1项得0.1分，满分1分。</w:t>
            </w:r>
          </w:p>
        </w:tc>
        <w:tc>
          <w:tcPr>
            <w:tcW w:w="1090" w:type="dxa"/>
            <w:tcBorders>
              <w:top w:val="single" w:sz="4" w:space="0" w:color="000000"/>
              <w:left w:val="single" w:sz="4" w:space="0" w:color="auto"/>
              <w:bottom w:val="single" w:sz="4" w:space="0" w:color="auto"/>
              <w:right w:val="single" w:sz="4" w:space="0" w:color="000000"/>
            </w:tcBorders>
            <w:vAlign w:val="center"/>
          </w:tcPr>
          <w:p w14:paraId="7BA7060D" w14:textId="77777777" w:rsidR="00752F6F" w:rsidRDefault="00000000">
            <w:pPr>
              <w:widowControl/>
              <w:spacing w:line="68" w:lineRule="atLeast"/>
              <w:jc w:val="center"/>
              <w:rPr>
                <w:rFonts w:ascii="宋体" w:eastAsia="仿宋" w:hAnsi="宋体" w:cs="Arial" w:hint="eastAsia"/>
                <w:kern w:val="0"/>
                <w:sz w:val="20"/>
                <w:szCs w:val="24"/>
              </w:rPr>
            </w:pPr>
            <w:r>
              <w:rPr>
                <w:rFonts w:ascii="宋体" w:eastAsia="仿宋" w:hAnsi="宋体" w:cs="Arial" w:hint="eastAsia"/>
                <w:kern w:val="0"/>
                <w:sz w:val="20"/>
                <w:szCs w:val="24"/>
              </w:rPr>
              <w:t>0</w:t>
            </w:r>
          </w:p>
        </w:tc>
      </w:tr>
      <w:tr w:rsidR="00752F6F" w14:paraId="48820C14" w14:textId="77777777">
        <w:trPr>
          <w:trHeight w:val="1893"/>
          <w:jc w:val="center"/>
        </w:trPr>
        <w:tc>
          <w:tcPr>
            <w:tcW w:w="733" w:type="dxa"/>
            <w:vMerge/>
            <w:tcBorders>
              <w:left w:val="single" w:sz="4" w:space="0" w:color="000000"/>
              <w:right w:val="single" w:sz="4" w:space="0" w:color="000000"/>
            </w:tcBorders>
            <w:vAlign w:val="center"/>
          </w:tcPr>
          <w:p w14:paraId="0891A509" w14:textId="77777777" w:rsidR="00752F6F" w:rsidRDefault="00752F6F">
            <w:pPr>
              <w:widowControl/>
              <w:jc w:val="left"/>
              <w:rPr>
                <w:rFonts w:ascii="仿宋" w:eastAsia="仿宋" w:hAnsi="仿宋" w:cs="宋体" w:hint="eastAsia"/>
                <w:kern w:val="0"/>
                <w:sz w:val="24"/>
                <w:szCs w:val="24"/>
              </w:rPr>
            </w:pPr>
          </w:p>
        </w:tc>
        <w:tc>
          <w:tcPr>
            <w:tcW w:w="803" w:type="dxa"/>
            <w:vMerge w:val="restart"/>
            <w:tcBorders>
              <w:top w:val="single" w:sz="4" w:space="0" w:color="000000"/>
              <w:left w:val="single" w:sz="4" w:space="0" w:color="000000"/>
              <w:right w:val="single" w:sz="4" w:space="0" w:color="000000"/>
            </w:tcBorders>
            <w:vAlign w:val="center"/>
          </w:tcPr>
          <w:p w14:paraId="5675059D"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预算配置</w:t>
            </w:r>
            <w:r>
              <w:rPr>
                <w:rFonts w:ascii="仿宋" w:eastAsia="仿宋" w:hAnsi="仿宋" w:cs="Arial" w:hint="eastAsia"/>
                <w:kern w:val="0"/>
                <w:sz w:val="24"/>
                <w:szCs w:val="24"/>
              </w:rPr>
              <w:t>(10分)</w:t>
            </w:r>
          </w:p>
        </w:tc>
        <w:tc>
          <w:tcPr>
            <w:tcW w:w="1182" w:type="dxa"/>
            <w:tcBorders>
              <w:top w:val="single" w:sz="4" w:space="0" w:color="auto"/>
              <w:left w:val="single" w:sz="4" w:space="0" w:color="000000"/>
              <w:bottom w:val="single" w:sz="4" w:space="0" w:color="000000"/>
              <w:right w:val="single" w:sz="4" w:space="0" w:color="auto"/>
            </w:tcBorders>
            <w:vAlign w:val="center"/>
          </w:tcPr>
          <w:p w14:paraId="62652C7A"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财政供养人员</w:t>
            </w:r>
            <w:r>
              <w:rPr>
                <w:rFonts w:ascii="仿宋" w:eastAsia="仿宋" w:hAnsi="仿宋" w:cs="Arial"/>
                <w:kern w:val="0"/>
                <w:sz w:val="24"/>
                <w:szCs w:val="24"/>
              </w:rPr>
              <w:t>控制率（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auto"/>
              <w:left w:val="single" w:sz="4" w:space="0" w:color="auto"/>
              <w:bottom w:val="single" w:sz="4" w:space="0" w:color="000000"/>
              <w:right w:val="single" w:sz="4" w:space="0" w:color="auto"/>
            </w:tcBorders>
            <w:vAlign w:val="center"/>
          </w:tcPr>
          <w:p w14:paraId="5E68395B"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部门本年度实际在职人员数与编制数的比率，用以反映和评价部门对人员成本的控制程度。</w:t>
            </w:r>
          </w:p>
          <w:p w14:paraId="5F6D4D9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在职人员控制率</w:t>
            </w:r>
            <w:r>
              <w:rPr>
                <w:rFonts w:ascii="仿宋" w:eastAsia="仿宋" w:hAnsi="仿宋" w:cs="Arial" w:hint="eastAsia"/>
                <w:kern w:val="0"/>
                <w:sz w:val="24"/>
                <w:szCs w:val="24"/>
              </w:rPr>
              <w:t>=</w:t>
            </w:r>
            <w:r>
              <w:rPr>
                <w:rFonts w:ascii="仿宋" w:eastAsia="仿宋" w:hAnsi="仿宋" w:cs="Arial"/>
                <w:kern w:val="0"/>
                <w:sz w:val="24"/>
                <w:szCs w:val="24"/>
              </w:rPr>
              <w:t>（在职人员数</w:t>
            </w:r>
            <w:r>
              <w:rPr>
                <w:rFonts w:ascii="仿宋" w:eastAsia="仿宋" w:hAnsi="仿宋" w:cs="Arial" w:hint="eastAsia"/>
                <w:kern w:val="0"/>
                <w:sz w:val="24"/>
                <w:szCs w:val="24"/>
              </w:rPr>
              <w:t>/</w:t>
            </w:r>
            <w:r>
              <w:rPr>
                <w:rFonts w:ascii="仿宋" w:eastAsia="仿宋" w:hAnsi="仿宋" w:cs="Arial"/>
                <w:kern w:val="0"/>
                <w:sz w:val="24"/>
                <w:szCs w:val="24"/>
              </w:rPr>
              <w:t>编制数）×</w:t>
            </w:r>
            <w:r>
              <w:rPr>
                <w:rFonts w:ascii="仿宋" w:eastAsia="仿宋" w:hAnsi="仿宋" w:cs="Arial" w:hint="eastAsia"/>
                <w:kern w:val="0"/>
                <w:sz w:val="24"/>
                <w:szCs w:val="24"/>
              </w:rPr>
              <w:t>100%</w:t>
            </w:r>
            <w:r>
              <w:rPr>
                <w:rFonts w:ascii="仿宋" w:eastAsia="仿宋" w:hAnsi="仿宋" w:cs="Arial"/>
                <w:kern w:val="0"/>
                <w:sz w:val="24"/>
                <w:szCs w:val="24"/>
              </w:rPr>
              <w:t>。</w:t>
            </w:r>
          </w:p>
          <w:p w14:paraId="7F47A65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在职人员数：部门实际在职人数，以财政部确定的部门决算编制口径为准，由编制部门和人</w:t>
            </w:r>
            <w:proofErr w:type="gramStart"/>
            <w:r>
              <w:rPr>
                <w:rFonts w:ascii="仿宋" w:eastAsia="仿宋" w:hAnsi="仿宋" w:cs="Arial"/>
                <w:kern w:val="0"/>
                <w:sz w:val="24"/>
                <w:szCs w:val="24"/>
              </w:rPr>
              <w:t>劳</w:t>
            </w:r>
            <w:proofErr w:type="gramEnd"/>
            <w:r>
              <w:rPr>
                <w:rFonts w:ascii="仿宋" w:eastAsia="仿宋" w:hAnsi="仿宋" w:cs="Arial"/>
                <w:kern w:val="0"/>
                <w:sz w:val="24"/>
                <w:szCs w:val="24"/>
              </w:rPr>
              <w:t>部门批复同意的临聘人员除外。</w:t>
            </w:r>
          </w:p>
          <w:p w14:paraId="7AC69400"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编制数：机构编制部门核定批复的部门人员编制数。</w:t>
            </w:r>
          </w:p>
        </w:tc>
        <w:tc>
          <w:tcPr>
            <w:tcW w:w="3780" w:type="dxa"/>
            <w:tcBorders>
              <w:top w:val="single" w:sz="4" w:space="0" w:color="auto"/>
              <w:left w:val="single" w:sz="4" w:space="0" w:color="auto"/>
              <w:bottom w:val="single" w:sz="4" w:space="0" w:color="000000"/>
              <w:right w:val="single" w:sz="4" w:space="0" w:color="auto"/>
            </w:tcBorders>
            <w:vAlign w:val="center"/>
          </w:tcPr>
          <w:p w14:paraId="2F28D031"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目标值≤100%；达到目标值得3分，每超出1人扣0.1分，扣完为止。</w:t>
            </w:r>
          </w:p>
        </w:tc>
        <w:tc>
          <w:tcPr>
            <w:tcW w:w="1090" w:type="dxa"/>
            <w:tcBorders>
              <w:top w:val="single" w:sz="4" w:space="0" w:color="auto"/>
              <w:left w:val="single" w:sz="4" w:space="0" w:color="auto"/>
              <w:bottom w:val="single" w:sz="4" w:space="0" w:color="000000"/>
              <w:right w:val="single" w:sz="4" w:space="0" w:color="000000"/>
            </w:tcBorders>
            <w:vAlign w:val="center"/>
          </w:tcPr>
          <w:p w14:paraId="4BC7BBF2"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23CE46D7" w14:textId="77777777">
        <w:trPr>
          <w:trHeight w:val="1825"/>
          <w:jc w:val="center"/>
        </w:trPr>
        <w:tc>
          <w:tcPr>
            <w:tcW w:w="733" w:type="dxa"/>
            <w:vMerge/>
            <w:tcBorders>
              <w:left w:val="single" w:sz="4" w:space="0" w:color="000000"/>
              <w:right w:val="single" w:sz="4" w:space="0" w:color="000000"/>
            </w:tcBorders>
            <w:vAlign w:val="center"/>
          </w:tcPr>
          <w:p w14:paraId="40163AF3"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2FE05465"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auto"/>
              <w:left w:val="single" w:sz="4" w:space="0" w:color="000000"/>
              <w:bottom w:val="single" w:sz="4" w:space="0" w:color="000000"/>
              <w:right w:val="single" w:sz="4" w:space="0" w:color="auto"/>
            </w:tcBorders>
            <w:vAlign w:val="center"/>
          </w:tcPr>
          <w:p w14:paraId="4C12718B" w14:textId="04433BA2" w:rsidR="00752F6F" w:rsidRDefault="00A67ADF">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“三公”经费变动率（4分）</w:t>
            </w:r>
          </w:p>
        </w:tc>
        <w:tc>
          <w:tcPr>
            <w:tcW w:w="6554" w:type="dxa"/>
            <w:tcBorders>
              <w:top w:val="single" w:sz="4" w:space="0" w:color="auto"/>
              <w:left w:val="single" w:sz="4" w:space="0" w:color="auto"/>
              <w:bottom w:val="single" w:sz="4" w:space="0" w:color="000000"/>
              <w:right w:val="single" w:sz="4" w:space="0" w:color="auto"/>
            </w:tcBorders>
            <w:vAlign w:val="center"/>
          </w:tcPr>
          <w:p w14:paraId="7A9ACCF1" w14:textId="7926C62B"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部门本年度</w:t>
            </w:r>
            <w:r w:rsidR="003402AD">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预算数与上年度</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预算数的变动比率，用以反映和考核部门对控制重点行政成本的努力程度。</w:t>
            </w:r>
          </w:p>
          <w:p w14:paraId="1FB52586" w14:textId="717B7CFA" w:rsidR="00752F6F" w:rsidRDefault="00A67ADF">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“三公”经费变动率=〔（本年度</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总额-上年度</w:t>
            </w:r>
            <w:r w:rsidR="003402AD">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总额）/上年度</w:t>
            </w:r>
            <w:r w:rsidR="003402AD">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总额〕×100%</w:t>
            </w:r>
          </w:p>
          <w:p w14:paraId="036D55C8" w14:textId="6C7C5843" w:rsidR="00752F6F" w:rsidRDefault="00A67ADF">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“三公”经费：年度预算安排的因公出国（境）费、公务车辆购置及运行费和公务招待费。</w:t>
            </w:r>
          </w:p>
        </w:tc>
        <w:tc>
          <w:tcPr>
            <w:tcW w:w="3780" w:type="dxa"/>
            <w:tcBorders>
              <w:top w:val="single" w:sz="4" w:space="0" w:color="auto"/>
              <w:left w:val="single" w:sz="4" w:space="0" w:color="auto"/>
              <w:bottom w:val="single" w:sz="4" w:space="0" w:color="000000"/>
              <w:right w:val="single" w:sz="4" w:space="0" w:color="auto"/>
            </w:tcBorders>
            <w:vAlign w:val="center"/>
          </w:tcPr>
          <w:p w14:paraId="148093CE" w14:textId="5389D82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目标值≤0；达到目标值得4分，未达到目标值的采用比率扣分法：扣分值=</w:t>
            </w:r>
            <w:r w:rsidR="00A67ADF">
              <w:rPr>
                <w:rFonts w:ascii="仿宋" w:eastAsia="仿宋" w:hAnsi="仿宋" w:cs="Arial" w:hint="eastAsia"/>
                <w:kern w:val="0"/>
                <w:sz w:val="24"/>
                <w:szCs w:val="24"/>
              </w:rPr>
              <w:t>“三公”经费</w:t>
            </w:r>
            <w:r>
              <w:rPr>
                <w:rFonts w:ascii="仿宋" w:eastAsia="仿宋" w:hAnsi="仿宋" w:cs="Arial" w:hint="eastAsia"/>
                <w:kern w:val="0"/>
                <w:sz w:val="24"/>
                <w:szCs w:val="24"/>
              </w:rPr>
              <w:t>变动率×4×10，变动率达10%以上的扣4分。</w:t>
            </w:r>
          </w:p>
        </w:tc>
        <w:tc>
          <w:tcPr>
            <w:tcW w:w="1090" w:type="dxa"/>
            <w:tcBorders>
              <w:top w:val="single" w:sz="4" w:space="0" w:color="auto"/>
              <w:left w:val="single" w:sz="4" w:space="0" w:color="auto"/>
              <w:bottom w:val="single" w:sz="4" w:space="0" w:color="000000"/>
              <w:right w:val="single" w:sz="4" w:space="0" w:color="000000"/>
            </w:tcBorders>
            <w:vAlign w:val="center"/>
          </w:tcPr>
          <w:p w14:paraId="23B2F784"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4</w:t>
            </w:r>
          </w:p>
        </w:tc>
      </w:tr>
      <w:tr w:rsidR="00752F6F" w14:paraId="7BA6B31B" w14:textId="77777777">
        <w:trPr>
          <w:trHeight w:val="2607"/>
          <w:jc w:val="center"/>
        </w:trPr>
        <w:tc>
          <w:tcPr>
            <w:tcW w:w="733" w:type="dxa"/>
            <w:vMerge/>
            <w:tcBorders>
              <w:left w:val="single" w:sz="4" w:space="0" w:color="000000"/>
              <w:bottom w:val="single" w:sz="4" w:space="0" w:color="000000"/>
              <w:right w:val="single" w:sz="4" w:space="0" w:color="000000"/>
            </w:tcBorders>
            <w:vAlign w:val="center"/>
          </w:tcPr>
          <w:p w14:paraId="3B806F50"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bottom w:val="single" w:sz="4" w:space="0" w:color="000000"/>
              <w:right w:val="single" w:sz="4" w:space="0" w:color="000000"/>
            </w:tcBorders>
            <w:vAlign w:val="center"/>
          </w:tcPr>
          <w:p w14:paraId="493B154C"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auto"/>
              <w:left w:val="single" w:sz="4" w:space="0" w:color="000000"/>
              <w:bottom w:val="single" w:sz="4" w:space="0" w:color="000000"/>
              <w:right w:val="single" w:sz="4" w:space="0" w:color="auto"/>
            </w:tcBorders>
            <w:vAlign w:val="center"/>
          </w:tcPr>
          <w:p w14:paraId="7AACD827"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重点支出安排率（3分）</w:t>
            </w:r>
          </w:p>
        </w:tc>
        <w:tc>
          <w:tcPr>
            <w:tcW w:w="6554" w:type="dxa"/>
            <w:tcBorders>
              <w:top w:val="single" w:sz="4" w:space="0" w:color="auto"/>
              <w:left w:val="single" w:sz="4" w:space="0" w:color="auto"/>
              <w:bottom w:val="single" w:sz="4" w:space="0" w:color="000000"/>
              <w:right w:val="single" w:sz="4" w:space="0" w:color="auto"/>
            </w:tcBorders>
            <w:vAlign w:val="center"/>
          </w:tcPr>
          <w:p w14:paraId="53ED3E5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部门（单位）本年度预算安排的重点项目支出与部门项目总支出的比率，用以反映和考核部门（单位）对履行主要职责或完成重点任务的保障程度。重点支出安排率=（重点项目支出/项目总支出）×100%。</w:t>
            </w:r>
          </w:p>
          <w:p w14:paraId="4F7C5D8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711BDA8D"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项目总支出：部门（单位）年度预算安排的项目支出总额。</w:t>
            </w:r>
          </w:p>
        </w:tc>
        <w:tc>
          <w:tcPr>
            <w:tcW w:w="3780" w:type="dxa"/>
            <w:tcBorders>
              <w:top w:val="single" w:sz="4" w:space="0" w:color="auto"/>
              <w:left w:val="single" w:sz="4" w:space="0" w:color="auto"/>
              <w:bottom w:val="single" w:sz="4" w:space="0" w:color="000000"/>
              <w:right w:val="single" w:sz="4" w:space="0" w:color="auto"/>
            </w:tcBorders>
            <w:vAlign w:val="center"/>
          </w:tcPr>
          <w:p w14:paraId="549C585F"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目标值</w:t>
            </w:r>
            <w:r>
              <w:rPr>
                <w:rFonts w:ascii="仿宋" w:eastAsia="仿宋" w:hAnsi="仿宋" w:cs="宋体" w:hint="eastAsia"/>
                <w:kern w:val="0"/>
                <w:sz w:val="24"/>
                <w:szCs w:val="24"/>
              </w:rPr>
              <w:t>≥70%</w:t>
            </w:r>
            <w:r>
              <w:rPr>
                <w:rFonts w:ascii="仿宋" w:eastAsia="仿宋" w:hAnsi="仿宋" w:cs="Arial" w:hint="eastAsia"/>
                <w:kern w:val="0"/>
                <w:sz w:val="24"/>
                <w:szCs w:val="24"/>
              </w:rPr>
              <w:t>；以3分为上限，采用完成比率法计分：得分=重点支出安排率/70%×100%×3，超出目标值不加分。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14:paraId="0CF705D0" w14:textId="77777777" w:rsidR="00752F6F" w:rsidRDefault="00000000">
            <w:pPr>
              <w:widowControl/>
              <w:spacing w:line="68" w:lineRule="atLeast"/>
              <w:jc w:val="center"/>
              <w:rPr>
                <w:rFonts w:ascii="宋体" w:eastAsia="仿宋" w:hAnsi="宋体" w:cs="Arial" w:hint="eastAsia"/>
                <w:kern w:val="0"/>
                <w:sz w:val="20"/>
                <w:szCs w:val="24"/>
              </w:rPr>
            </w:pPr>
            <w:r>
              <w:rPr>
                <w:rFonts w:ascii="宋体" w:eastAsia="仿宋" w:hAnsi="宋体" w:cs="Arial" w:hint="eastAsia"/>
                <w:kern w:val="0"/>
                <w:sz w:val="20"/>
                <w:szCs w:val="24"/>
              </w:rPr>
              <w:t>3</w:t>
            </w:r>
          </w:p>
        </w:tc>
      </w:tr>
      <w:tr w:rsidR="00752F6F" w14:paraId="1AE89C1D" w14:textId="77777777">
        <w:trPr>
          <w:trHeight w:val="929"/>
          <w:jc w:val="center"/>
        </w:trPr>
        <w:tc>
          <w:tcPr>
            <w:tcW w:w="733" w:type="dxa"/>
            <w:vMerge w:val="restart"/>
            <w:tcBorders>
              <w:top w:val="single" w:sz="4" w:space="0" w:color="000000"/>
              <w:left w:val="single" w:sz="4" w:space="0" w:color="000000"/>
              <w:right w:val="single" w:sz="4" w:space="0" w:color="000000"/>
            </w:tcBorders>
            <w:vAlign w:val="center"/>
          </w:tcPr>
          <w:p w14:paraId="45321C01" w14:textId="77777777" w:rsidR="00752F6F" w:rsidRDefault="00752F6F">
            <w:pPr>
              <w:widowControl/>
              <w:spacing w:line="68" w:lineRule="atLeast"/>
              <w:jc w:val="center"/>
              <w:rPr>
                <w:rFonts w:ascii="仿宋" w:eastAsia="仿宋" w:hAnsi="仿宋" w:cs="Arial" w:hint="eastAsia"/>
                <w:kern w:val="0"/>
                <w:sz w:val="24"/>
                <w:szCs w:val="24"/>
              </w:rPr>
            </w:pPr>
          </w:p>
          <w:p w14:paraId="2E691C52" w14:textId="77777777" w:rsidR="00752F6F" w:rsidRDefault="00752F6F">
            <w:pPr>
              <w:widowControl/>
              <w:spacing w:line="68" w:lineRule="atLeast"/>
              <w:jc w:val="center"/>
              <w:rPr>
                <w:rFonts w:ascii="仿宋" w:eastAsia="仿宋" w:hAnsi="仿宋" w:cs="Arial" w:hint="eastAsia"/>
                <w:kern w:val="0"/>
                <w:sz w:val="24"/>
                <w:szCs w:val="24"/>
              </w:rPr>
            </w:pPr>
          </w:p>
          <w:p w14:paraId="117033FC" w14:textId="77777777" w:rsidR="00752F6F" w:rsidRDefault="00752F6F">
            <w:pPr>
              <w:widowControl/>
              <w:spacing w:line="68" w:lineRule="atLeast"/>
              <w:jc w:val="center"/>
              <w:rPr>
                <w:rFonts w:ascii="仿宋" w:eastAsia="仿宋" w:hAnsi="仿宋" w:cs="Arial" w:hint="eastAsia"/>
                <w:kern w:val="0"/>
                <w:sz w:val="24"/>
                <w:szCs w:val="24"/>
              </w:rPr>
            </w:pPr>
          </w:p>
          <w:p w14:paraId="1886F4E2" w14:textId="77777777" w:rsidR="00752F6F" w:rsidRDefault="00752F6F">
            <w:pPr>
              <w:widowControl/>
              <w:spacing w:line="68" w:lineRule="atLeast"/>
              <w:jc w:val="center"/>
              <w:rPr>
                <w:rFonts w:ascii="仿宋" w:eastAsia="仿宋" w:hAnsi="仿宋" w:cs="Arial" w:hint="eastAsia"/>
                <w:kern w:val="0"/>
                <w:sz w:val="24"/>
                <w:szCs w:val="24"/>
              </w:rPr>
            </w:pPr>
          </w:p>
          <w:p w14:paraId="0C6D4DA2" w14:textId="77777777" w:rsidR="00752F6F" w:rsidRDefault="00752F6F">
            <w:pPr>
              <w:widowControl/>
              <w:spacing w:line="68" w:lineRule="atLeast"/>
              <w:jc w:val="center"/>
              <w:rPr>
                <w:rFonts w:ascii="仿宋" w:eastAsia="仿宋" w:hAnsi="仿宋" w:cs="Arial" w:hint="eastAsia"/>
                <w:kern w:val="0"/>
                <w:sz w:val="24"/>
                <w:szCs w:val="24"/>
              </w:rPr>
            </w:pPr>
          </w:p>
          <w:p w14:paraId="5847F6EC" w14:textId="77777777" w:rsidR="00752F6F" w:rsidRDefault="00752F6F">
            <w:pPr>
              <w:widowControl/>
              <w:spacing w:line="68" w:lineRule="atLeast"/>
              <w:jc w:val="center"/>
              <w:rPr>
                <w:rFonts w:ascii="仿宋" w:eastAsia="仿宋" w:hAnsi="仿宋" w:cs="Arial" w:hint="eastAsia"/>
                <w:kern w:val="0"/>
                <w:sz w:val="24"/>
                <w:szCs w:val="24"/>
              </w:rPr>
            </w:pPr>
          </w:p>
          <w:p w14:paraId="5BD8A8FA" w14:textId="77777777" w:rsidR="00752F6F" w:rsidRDefault="00752F6F">
            <w:pPr>
              <w:widowControl/>
              <w:spacing w:line="68" w:lineRule="atLeast"/>
              <w:jc w:val="center"/>
              <w:rPr>
                <w:rFonts w:ascii="仿宋" w:eastAsia="仿宋" w:hAnsi="仿宋" w:cs="Arial" w:hint="eastAsia"/>
                <w:kern w:val="0"/>
                <w:sz w:val="24"/>
                <w:szCs w:val="24"/>
              </w:rPr>
            </w:pPr>
          </w:p>
          <w:p w14:paraId="21D77895" w14:textId="77777777" w:rsidR="00752F6F" w:rsidRDefault="00752F6F">
            <w:pPr>
              <w:widowControl/>
              <w:spacing w:line="68" w:lineRule="atLeast"/>
              <w:jc w:val="center"/>
              <w:rPr>
                <w:rFonts w:ascii="仿宋" w:eastAsia="仿宋" w:hAnsi="仿宋" w:cs="Arial" w:hint="eastAsia"/>
                <w:kern w:val="0"/>
                <w:sz w:val="24"/>
                <w:szCs w:val="24"/>
              </w:rPr>
            </w:pPr>
          </w:p>
          <w:p w14:paraId="6239A5F9" w14:textId="77777777" w:rsidR="00752F6F" w:rsidRDefault="00752F6F">
            <w:pPr>
              <w:widowControl/>
              <w:spacing w:line="68" w:lineRule="atLeast"/>
              <w:jc w:val="center"/>
              <w:rPr>
                <w:rFonts w:ascii="仿宋" w:eastAsia="仿宋" w:hAnsi="仿宋" w:cs="Arial" w:hint="eastAsia"/>
                <w:kern w:val="0"/>
                <w:sz w:val="24"/>
                <w:szCs w:val="24"/>
              </w:rPr>
            </w:pPr>
          </w:p>
          <w:p w14:paraId="58A123FD" w14:textId="77777777" w:rsidR="00752F6F" w:rsidRDefault="00752F6F">
            <w:pPr>
              <w:widowControl/>
              <w:spacing w:line="68" w:lineRule="atLeast"/>
              <w:jc w:val="center"/>
              <w:rPr>
                <w:rFonts w:ascii="仿宋" w:eastAsia="仿宋" w:hAnsi="仿宋" w:cs="Arial" w:hint="eastAsia"/>
                <w:kern w:val="0"/>
                <w:sz w:val="24"/>
                <w:szCs w:val="24"/>
              </w:rPr>
            </w:pPr>
          </w:p>
          <w:p w14:paraId="38EE7548" w14:textId="77777777" w:rsidR="00752F6F" w:rsidRDefault="00000000">
            <w:pPr>
              <w:widowControl/>
              <w:spacing w:line="68" w:lineRule="atLeast"/>
              <w:jc w:val="center"/>
              <w:rPr>
                <w:rFonts w:ascii="仿宋" w:eastAsia="仿宋" w:hAnsi="仿宋" w:cs="Arial" w:hint="eastAsia"/>
                <w:kern w:val="0"/>
                <w:sz w:val="24"/>
                <w:szCs w:val="24"/>
              </w:rPr>
            </w:pPr>
            <w:r>
              <w:rPr>
                <w:rFonts w:ascii="仿宋" w:eastAsia="仿宋" w:hAnsi="仿宋" w:cs="Arial"/>
                <w:kern w:val="0"/>
                <w:sz w:val="24"/>
                <w:szCs w:val="24"/>
              </w:rPr>
              <w:t>过程</w:t>
            </w:r>
            <w:r>
              <w:rPr>
                <w:rFonts w:ascii="仿宋" w:eastAsia="仿宋" w:hAnsi="仿宋" w:cs="Arial" w:hint="eastAsia"/>
                <w:kern w:val="0"/>
                <w:sz w:val="24"/>
                <w:szCs w:val="24"/>
              </w:rPr>
              <w:t>(55分)</w:t>
            </w:r>
          </w:p>
          <w:p w14:paraId="2F1612DD" w14:textId="77777777" w:rsidR="00752F6F" w:rsidRDefault="00752F6F">
            <w:pPr>
              <w:widowControl/>
              <w:spacing w:line="68" w:lineRule="atLeast"/>
              <w:jc w:val="center"/>
              <w:rPr>
                <w:rFonts w:ascii="仿宋" w:eastAsia="仿宋" w:hAnsi="仿宋" w:cs="Arial" w:hint="eastAsia"/>
                <w:kern w:val="0"/>
                <w:sz w:val="24"/>
                <w:szCs w:val="24"/>
              </w:rPr>
            </w:pPr>
          </w:p>
          <w:p w14:paraId="7CDE7B9A" w14:textId="77777777" w:rsidR="00752F6F" w:rsidRDefault="00752F6F">
            <w:pPr>
              <w:widowControl/>
              <w:spacing w:line="68" w:lineRule="atLeast"/>
              <w:jc w:val="center"/>
              <w:rPr>
                <w:rFonts w:ascii="仿宋" w:eastAsia="仿宋" w:hAnsi="仿宋" w:cs="Arial" w:hint="eastAsia"/>
                <w:kern w:val="0"/>
                <w:sz w:val="24"/>
                <w:szCs w:val="24"/>
              </w:rPr>
            </w:pPr>
          </w:p>
          <w:p w14:paraId="7E38C28B" w14:textId="77777777" w:rsidR="00752F6F" w:rsidRDefault="00752F6F">
            <w:pPr>
              <w:widowControl/>
              <w:spacing w:line="68" w:lineRule="atLeast"/>
              <w:jc w:val="center"/>
              <w:rPr>
                <w:rFonts w:ascii="仿宋" w:eastAsia="仿宋" w:hAnsi="仿宋" w:cs="Arial" w:hint="eastAsia"/>
                <w:kern w:val="0"/>
                <w:sz w:val="24"/>
                <w:szCs w:val="24"/>
              </w:rPr>
            </w:pPr>
          </w:p>
          <w:p w14:paraId="628C5B96" w14:textId="77777777" w:rsidR="00752F6F" w:rsidRDefault="00752F6F">
            <w:pPr>
              <w:widowControl/>
              <w:spacing w:line="68" w:lineRule="atLeast"/>
              <w:jc w:val="center"/>
              <w:rPr>
                <w:rFonts w:ascii="仿宋" w:eastAsia="仿宋" w:hAnsi="仿宋" w:cs="Arial" w:hint="eastAsia"/>
                <w:kern w:val="0"/>
                <w:sz w:val="24"/>
                <w:szCs w:val="24"/>
              </w:rPr>
            </w:pPr>
          </w:p>
          <w:p w14:paraId="3DA26488" w14:textId="77777777" w:rsidR="00752F6F" w:rsidRDefault="00752F6F">
            <w:pPr>
              <w:widowControl/>
              <w:spacing w:line="68" w:lineRule="atLeast"/>
              <w:jc w:val="center"/>
              <w:rPr>
                <w:rFonts w:ascii="仿宋" w:eastAsia="仿宋" w:hAnsi="仿宋" w:cs="Arial" w:hint="eastAsia"/>
                <w:kern w:val="0"/>
                <w:sz w:val="24"/>
                <w:szCs w:val="24"/>
              </w:rPr>
            </w:pPr>
          </w:p>
          <w:p w14:paraId="19F7837C" w14:textId="77777777" w:rsidR="00752F6F" w:rsidRDefault="00752F6F">
            <w:pPr>
              <w:widowControl/>
              <w:spacing w:line="68" w:lineRule="atLeast"/>
              <w:jc w:val="center"/>
              <w:rPr>
                <w:rFonts w:ascii="仿宋" w:eastAsia="仿宋" w:hAnsi="仿宋" w:cs="Arial" w:hint="eastAsia"/>
                <w:kern w:val="0"/>
                <w:sz w:val="24"/>
                <w:szCs w:val="24"/>
              </w:rPr>
            </w:pPr>
          </w:p>
          <w:p w14:paraId="477BE9DD" w14:textId="77777777" w:rsidR="00752F6F" w:rsidRDefault="00752F6F">
            <w:pPr>
              <w:widowControl/>
              <w:spacing w:line="68" w:lineRule="atLeast"/>
              <w:jc w:val="center"/>
              <w:rPr>
                <w:rFonts w:ascii="仿宋" w:eastAsia="仿宋" w:hAnsi="仿宋" w:cs="Arial" w:hint="eastAsia"/>
                <w:kern w:val="0"/>
                <w:sz w:val="24"/>
                <w:szCs w:val="24"/>
              </w:rPr>
            </w:pPr>
          </w:p>
          <w:p w14:paraId="77C79780" w14:textId="77777777" w:rsidR="00752F6F" w:rsidRDefault="00752F6F">
            <w:pPr>
              <w:widowControl/>
              <w:spacing w:line="68" w:lineRule="atLeast"/>
              <w:jc w:val="center"/>
              <w:rPr>
                <w:rFonts w:ascii="仿宋" w:eastAsia="仿宋" w:hAnsi="仿宋" w:cs="Arial" w:hint="eastAsia"/>
                <w:kern w:val="0"/>
                <w:sz w:val="24"/>
                <w:szCs w:val="24"/>
              </w:rPr>
            </w:pPr>
          </w:p>
          <w:p w14:paraId="3F0C0FFF" w14:textId="77777777" w:rsidR="00752F6F" w:rsidRDefault="00752F6F">
            <w:pPr>
              <w:widowControl/>
              <w:spacing w:line="68" w:lineRule="atLeast"/>
              <w:jc w:val="center"/>
              <w:rPr>
                <w:rFonts w:ascii="仿宋" w:eastAsia="仿宋" w:hAnsi="仿宋" w:cs="Arial" w:hint="eastAsia"/>
                <w:kern w:val="0"/>
                <w:sz w:val="24"/>
                <w:szCs w:val="24"/>
              </w:rPr>
            </w:pPr>
          </w:p>
          <w:p w14:paraId="4CCE8546" w14:textId="77777777" w:rsidR="00752F6F" w:rsidRDefault="00752F6F">
            <w:pPr>
              <w:widowControl/>
              <w:spacing w:line="68" w:lineRule="atLeast"/>
              <w:jc w:val="center"/>
              <w:rPr>
                <w:rFonts w:ascii="仿宋" w:eastAsia="仿宋" w:hAnsi="仿宋" w:cs="Arial" w:hint="eastAsia"/>
                <w:kern w:val="0"/>
                <w:sz w:val="24"/>
                <w:szCs w:val="24"/>
              </w:rPr>
            </w:pPr>
          </w:p>
          <w:p w14:paraId="29DBADE4" w14:textId="77777777" w:rsidR="00752F6F" w:rsidRDefault="00752F6F">
            <w:pPr>
              <w:widowControl/>
              <w:spacing w:line="68" w:lineRule="atLeast"/>
              <w:jc w:val="center"/>
              <w:rPr>
                <w:rFonts w:ascii="仿宋" w:eastAsia="仿宋" w:hAnsi="仿宋" w:cs="Arial" w:hint="eastAsia"/>
                <w:kern w:val="0"/>
                <w:sz w:val="24"/>
                <w:szCs w:val="24"/>
              </w:rPr>
            </w:pPr>
          </w:p>
          <w:p w14:paraId="6BAAC709" w14:textId="77777777" w:rsidR="00752F6F" w:rsidRDefault="00752F6F">
            <w:pPr>
              <w:widowControl/>
              <w:spacing w:line="68" w:lineRule="atLeast"/>
              <w:jc w:val="center"/>
              <w:rPr>
                <w:rFonts w:ascii="仿宋" w:eastAsia="仿宋" w:hAnsi="仿宋" w:cs="Arial" w:hint="eastAsia"/>
                <w:kern w:val="0"/>
                <w:sz w:val="24"/>
                <w:szCs w:val="24"/>
              </w:rPr>
            </w:pPr>
          </w:p>
          <w:p w14:paraId="11A2A1DA" w14:textId="77777777" w:rsidR="00752F6F" w:rsidRDefault="00752F6F">
            <w:pPr>
              <w:widowControl/>
              <w:spacing w:line="68" w:lineRule="atLeast"/>
              <w:jc w:val="center"/>
              <w:rPr>
                <w:rFonts w:ascii="仿宋" w:eastAsia="仿宋" w:hAnsi="仿宋" w:cs="Arial" w:hint="eastAsia"/>
                <w:kern w:val="0"/>
                <w:sz w:val="24"/>
                <w:szCs w:val="24"/>
              </w:rPr>
            </w:pPr>
          </w:p>
          <w:p w14:paraId="2727EC28" w14:textId="77777777" w:rsidR="00752F6F" w:rsidRDefault="00752F6F">
            <w:pPr>
              <w:widowControl/>
              <w:spacing w:line="68" w:lineRule="atLeast"/>
              <w:jc w:val="center"/>
              <w:rPr>
                <w:rFonts w:ascii="仿宋" w:eastAsia="仿宋" w:hAnsi="仿宋" w:cs="Arial" w:hint="eastAsia"/>
                <w:kern w:val="0"/>
                <w:sz w:val="24"/>
                <w:szCs w:val="24"/>
              </w:rPr>
            </w:pPr>
          </w:p>
          <w:p w14:paraId="419B8AB4" w14:textId="77777777" w:rsidR="00752F6F" w:rsidRDefault="00752F6F">
            <w:pPr>
              <w:widowControl/>
              <w:spacing w:line="68" w:lineRule="atLeast"/>
              <w:jc w:val="center"/>
              <w:rPr>
                <w:rFonts w:ascii="仿宋" w:eastAsia="仿宋" w:hAnsi="仿宋" w:cs="Arial" w:hint="eastAsia"/>
                <w:kern w:val="0"/>
                <w:sz w:val="24"/>
                <w:szCs w:val="24"/>
              </w:rPr>
            </w:pPr>
          </w:p>
          <w:p w14:paraId="072502DF" w14:textId="77777777" w:rsidR="00752F6F" w:rsidRDefault="00752F6F">
            <w:pPr>
              <w:widowControl/>
              <w:spacing w:line="68" w:lineRule="atLeast"/>
              <w:jc w:val="center"/>
              <w:rPr>
                <w:rFonts w:ascii="仿宋" w:eastAsia="仿宋" w:hAnsi="仿宋" w:cs="Arial" w:hint="eastAsia"/>
                <w:kern w:val="0"/>
                <w:sz w:val="24"/>
                <w:szCs w:val="24"/>
              </w:rPr>
            </w:pPr>
          </w:p>
          <w:p w14:paraId="31EBD292" w14:textId="77777777" w:rsidR="00752F6F" w:rsidRDefault="00752F6F">
            <w:pPr>
              <w:widowControl/>
              <w:spacing w:line="68" w:lineRule="atLeast"/>
              <w:jc w:val="center"/>
              <w:rPr>
                <w:rFonts w:ascii="仿宋" w:eastAsia="仿宋" w:hAnsi="仿宋" w:cs="Arial" w:hint="eastAsia"/>
                <w:kern w:val="0"/>
                <w:sz w:val="24"/>
                <w:szCs w:val="24"/>
              </w:rPr>
            </w:pPr>
          </w:p>
          <w:p w14:paraId="3EF9EF4D" w14:textId="77777777" w:rsidR="00752F6F" w:rsidRDefault="00752F6F">
            <w:pPr>
              <w:widowControl/>
              <w:spacing w:line="68" w:lineRule="atLeast"/>
              <w:jc w:val="center"/>
              <w:rPr>
                <w:rFonts w:ascii="仿宋" w:eastAsia="仿宋" w:hAnsi="仿宋" w:cs="Arial" w:hint="eastAsia"/>
                <w:kern w:val="0"/>
                <w:sz w:val="24"/>
                <w:szCs w:val="24"/>
              </w:rPr>
            </w:pPr>
          </w:p>
          <w:p w14:paraId="155E22A9" w14:textId="77777777" w:rsidR="00752F6F" w:rsidRDefault="00752F6F">
            <w:pPr>
              <w:widowControl/>
              <w:spacing w:line="68" w:lineRule="atLeast"/>
              <w:jc w:val="center"/>
              <w:rPr>
                <w:rFonts w:ascii="仿宋" w:eastAsia="仿宋" w:hAnsi="仿宋" w:cs="Arial" w:hint="eastAsia"/>
                <w:kern w:val="0"/>
                <w:sz w:val="24"/>
                <w:szCs w:val="24"/>
              </w:rPr>
            </w:pPr>
          </w:p>
          <w:p w14:paraId="57645E06" w14:textId="77777777" w:rsidR="00752F6F" w:rsidRDefault="00000000">
            <w:pPr>
              <w:widowControl/>
              <w:spacing w:line="68" w:lineRule="atLeast"/>
              <w:jc w:val="center"/>
              <w:rPr>
                <w:rFonts w:ascii="仿宋" w:eastAsia="仿宋" w:hAnsi="仿宋" w:cs="Arial" w:hint="eastAsia"/>
                <w:kern w:val="0"/>
                <w:sz w:val="24"/>
                <w:szCs w:val="24"/>
              </w:rPr>
            </w:pPr>
            <w:r>
              <w:rPr>
                <w:rFonts w:ascii="仿宋" w:eastAsia="仿宋" w:hAnsi="仿宋" w:cs="Arial"/>
                <w:kern w:val="0"/>
                <w:sz w:val="24"/>
                <w:szCs w:val="24"/>
              </w:rPr>
              <w:t>过程</w:t>
            </w:r>
            <w:r>
              <w:rPr>
                <w:rFonts w:ascii="仿宋" w:eastAsia="仿宋" w:hAnsi="仿宋" w:cs="Arial" w:hint="eastAsia"/>
                <w:kern w:val="0"/>
                <w:sz w:val="24"/>
                <w:szCs w:val="24"/>
              </w:rPr>
              <w:t>(55分)</w:t>
            </w:r>
          </w:p>
          <w:p w14:paraId="4077E199" w14:textId="77777777" w:rsidR="00752F6F" w:rsidRDefault="00752F6F">
            <w:pPr>
              <w:widowControl/>
              <w:spacing w:line="68" w:lineRule="atLeast"/>
              <w:jc w:val="center"/>
              <w:rPr>
                <w:rFonts w:ascii="仿宋" w:eastAsia="仿宋" w:hAnsi="仿宋" w:cs="Arial" w:hint="eastAsia"/>
                <w:kern w:val="0"/>
                <w:sz w:val="24"/>
                <w:szCs w:val="24"/>
              </w:rPr>
            </w:pPr>
          </w:p>
          <w:p w14:paraId="5216871E" w14:textId="77777777" w:rsidR="00752F6F" w:rsidRDefault="00752F6F">
            <w:pPr>
              <w:widowControl/>
              <w:spacing w:line="68" w:lineRule="atLeast"/>
              <w:jc w:val="center"/>
              <w:rPr>
                <w:rFonts w:ascii="仿宋" w:eastAsia="仿宋" w:hAnsi="仿宋" w:cs="Arial" w:hint="eastAsia"/>
                <w:kern w:val="0"/>
                <w:sz w:val="24"/>
                <w:szCs w:val="24"/>
              </w:rPr>
            </w:pPr>
          </w:p>
          <w:p w14:paraId="454A7040" w14:textId="77777777" w:rsidR="00752F6F" w:rsidRDefault="00752F6F">
            <w:pPr>
              <w:widowControl/>
              <w:spacing w:line="68" w:lineRule="atLeast"/>
              <w:jc w:val="center"/>
              <w:rPr>
                <w:rFonts w:ascii="仿宋" w:eastAsia="仿宋" w:hAnsi="仿宋" w:cs="Arial" w:hint="eastAsia"/>
                <w:kern w:val="0"/>
                <w:sz w:val="24"/>
                <w:szCs w:val="24"/>
              </w:rPr>
            </w:pPr>
          </w:p>
          <w:p w14:paraId="53C125BC" w14:textId="77777777" w:rsidR="00752F6F" w:rsidRDefault="00752F6F">
            <w:pPr>
              <w:widowControl/>
              <w:spacing w:line="68" w:lineRule="atLeast"/>
              <w:jc w:val="center"/>
              <w:rPr>
                <w:rFonts w:ascii="仿宋" w:eastAsia="仿宋" w:hAnsi="仿宋" w:cs="Arial" w:hint="eastAsia"/>
                <w:kern w:val="0"/>
                <w:sz w:val="24"/>
                <w:szCs w:val="24"/>
              </w:rPr>
            </w:pPr>
          </w:p>
          <w:p w14:paraId="33D17903" w14:textId="77777777" w:rsidR="00752F6F" w:rsidRDefault="00752F6F">
            <w:pPr>
              <w:widowControl/>
              <w:spacing w:line="68" w:lineRule="atLeast"/>
              <w:jc w:val="center"/>
              <w:rPr>
                <w:rFonts w:ascii="仿宋" w:eastAsia="仿宋" w:hAnsi="仿宋" w:cs="Arial" w:hint="eastAsia"/>
                <w:kern w:val="0"/>
                <w:sz w:val="24"/>
                <w:szCs w:val="24"/>
              </w:rPr>
            </w:pPr>
          </w:p>
          <w:p w14:paraId="061C2828" w14:textId="77777777" w:rsidR="00752F6F" w:rsidRDefault="00752F6F">
            <w:pPr>
              <w:widowControl/>
              <w:spacing w:line="68" w:lineRule="atLeast"/>
              <w:jc w:val="center"/>
              <w:rPr>
                <w:rFonts w:ascii="仿宋" w:eastAsia="仿宋" w:hAnsi="仿宋" w:cs="Arial" w:hint="eastAsia"/>
                <w:kern w:val="0"/>
                <w:sz w:val="24"/>
                <w:szCs w:val="24"/>
              </w:rPr>
            </w:pPr>
          </w:p>
          <w:p w14:paraId="013D45A0" w14:textId="77777777" w:rsidR="00752F6F" w:rsidRDefault="00752F6F">
            <w:pPr>
              <w:widowControl/>
              <w:spacing w:line="68" w:lineRule="atLeast"/>
              <w:jc w:val="center"/>
              <w:rPr>
                <w:rFonts w:ascii="仿宋" w:eastAsia="仿宋" w:hAnsi="仿宋" w:cs="Arial" w:hint="eastAsia"/>
                <w:kern w:val="0"/>
                <w:sz w:val="24"/>
                <w:szCs w:val="24"/>
              </w:rPr>
            </w:pPr>
          </w:p>
          <w:p w14:paraId="26A4BC5B" w14:textId="77777777" w:rsidR="00752F6F" w:rsidRDefault="00752F6F">
            <w:pPr>
              <w:widowControl/>
              <w:spacing w:line="68" w:lineRule="atLeast"/>
              <w:jc w:val="center"/>
              <w:rPr>
                <w:rFonts w:ascii="仿宋" w:eastAsia="仿宋" w:hAnsi="仿宋" w:cs="Arial" w:hint="eastAsia"/>
                <w:kern w:val="0"/>
                <w:sz w:val="24"/>
                <w:szCs w:val="24"/>
              </w:rPr>
            </w:pPr>
          </w:p>
          <w:p w14:paraId="18DAAF80" w14:textId="77777777" w:rsidR="00752F6F" w:rsidRDefault="00752F6F">
            <w:pPr>
              <w:widowControl/>
              <w:spacing w:line="68" w:lineRule="atLeast"/>
              <w:jc w:val="center"/>
              <w:rPr>
                <w:rFonts w:ascii="仿宋" w:eastAsia="仿宋" w:hAnsi="仿宋" w:cs="Arial" w:hint="eastAsia"/>
                <w:kern w:val="0"/>
                <w:sz w:val="24"/>
                <w:szCs w:val="24"/>
              </w:rPr>
            </w:pPr>
          </w:p>
          <w:p w14:paraId="188B8892" w14:textId="77777777" w:rsidR="00752F6F" w:rsidRDefault="00752F6F">
            <w:pPr>
              <w:widowControl/>
              <w:spacing w:line="68" w:lineRule="atLeast"/>
              <w:jc w:val="center"/>
              <w:rPr>
                <w:rFonts w:ascii="仿宋" w:eastAsia="仿宋" w:hAnsi="仿宋" w:cs="Arial" w:hint="eastAsia"/>
                <w:kern w:val="0"/>
                <w:sz w:val="24"/>
                <w:szCs w:val="24"/>
              </w:rPr>
            </w:pPr>
          </w:p>
          <w:p w14:paraId="3C031AAD" w14:textId="77777777" w:rsidR="00752F6F" w:rsidRDefault="00752F6F">
            <w:pPr>
              <w:widowControl/>
              <w:spacing w:line="68" w:lineRule="atLeast"/>
              <w:jc w:val="center"/>
              <w:rPr>
                <w:rFonts w:ascii="仿宋" w:eastAsia="仿宋" w:hAnsi="仿宋" w:cs="Arial" w:hint="eastAsia"/>
                <w:kern w:val="0"/>
                <w:sz w:val="24"/>
                <w:szCs w:val="24"/>
              </w:rPr>
            </w:pPr>
          </w:p>
          <w:p w14:paraId="5E232192" w14:textId="77777777" w:rsidR="00752F6F" w:rsidRDefault="00752F6F">
            <w:pPr>
              <w:widowControl/>
              <w:spacing w:line="68" w:lineRule="atLeast"/>
              <w:jc w:val="center"/>
              <w:rPr>
                <w:rFonts w:ascii="仿宋" w:eastAsia="仿宋" w:hAnsi="仿宋" w:cs="Arial" w:hint="eastAsia"/>
                <w:kern w:val="0"/>
                <w:sz w:val="24"/>
                <w:szCs w:val="24"/>
              </w:rPr>
            </w:pPr>
          </w:p>
          <w:p w14:paraId="04CBC18C" w14:textId="77777777" w:rsidR="00752F6F" w:rsidRDefault="00752F6F">
            <w:pPr>
              <w:widowControl/>
              <w:spacing w:line="68" w:lineRule="atLeast"/>
              <w:jc w:val="center"/>
              <w:rPr>
                <w:rFonts w:ascii="仿宋" w:eastAsia="仿宋" w:hAnsi="仿宋" w:cs="Arial" w:hint="eastAsia"/>
                <w:kern w:val="0"/>
                <w:sz w:val="24"/>
                <w:szCs w:val="24"/>
              </w:rPr>
            </w:pPr>
          </w:p>
          <w:p w14:paraId="17CCD3BB" w14:textId="77777777" w:rsidR="00752F6F" w:rsidRDefault="00752F6F">
            <w:pPr>
              <w:widowControl/>
              <w:spacing w:line="68" w:lineRule="atLeast"/>
              <w:jc w:val="center"/>
              <w:rPr>
                <w:rFonts w:ascii="仿宋" w:eastAsia="仿宋" w:hAnsi="仿宋" w:cs="Arial" w:hint="eastAsia"/>
                <w:kern w:val="0"/>
                <w:sz w:val="24"/>
                <w:szCs w:val="24"/>
              </w:rPr>
            </w:pPr>
          </w:p>
          <w:p w14:paraId="27E3656E" w14:textId="77777777" w:rsidR="00752F6F" w:rsidRDefault="00752F6F">
            <w:pPr>
              <w:widowControl/>
              <w:spacing w:line="68" w:lineRule="atLeast"/>
              <w:jc w:val="center"/>
              <w:rPr>
                <w:rFonts w:ascii="仿宋" w:eastAsia="仿宋" w:hAnsi="仿宋" w:cs="Arial" w:hint="eastAsia"/>
                <w:kern w:val="0"/>
                <w:sz w:val="24"/>
                <w:szCs w:val="24"/>
              </w:rPr>
            </w:pPr>
          </w:p>
          <w:p w14:paraId="59B70526" w14:textId="77777777" w:rsidR="00752F6F" w:rsidRDefault="00752F6F">
            <w:pPr>
              <w:widowControl/>
              <w:spacing w:line="68" w:lineRule="atLeast"/>
              <w:jc w:val="center"/>
              <w:rPr>
                <w:rFonts w:ascii="仿宋" w:eastAsia="仿宋" w:hAnsi="仿宋" w:cs="Arial" w:hint="eastAsia"/>
                <w:kern w:val="0"/>
                <w:sz w:val="24"/>
                <w:szCs w:val="24"/>
              </w:rPr>
            </w:pPr>
          </w:p>
          <w:p w14:paraId="5D4D7AFD" w14:textId="77777777" w:rsidR="00752F6F" w:rsidRDefault="00752F6F">
            <w:pPr>
              <w:widowControl/>
              <w:spacing w:line="68" w:lineRule="atLeast"/>
              <w:jc w:val="center"/>
              <w:rPr>
                <w:rFonts w:ascii="仿宋" w:eastAsia="仿宋" w:hAnsi="仿宋" w:cs="Arial" w:hint="eastAsia"/>
                <w:kern w:val="0"/>
                <w:sz w:val="24"/>
                <w:szCs w:val="24"/>
              </w:rPr>
            </w:pPr>
          </w:p>
          <w:p w14:paraId="0074233E" w14:textId="77777777" w:rsidR="00752F6F" w:rsidRDefault="00752F6F">
            <w:pPr>
              <w:widowControl/>
              <w:spacing w:line="68" w:lineRule="atLeast"/>
              <w:jc w:val="center"/>
              <w:rPr>
                <w:rFonts w:ascii="仿宋" w:eastAsia="仿宋" w:hAnsi="仿宋" w:cs="Arial" w:hint="eastAsia"/>
                <w:kern w:val="0"/>
                <w:sz w:val="24"/>
                <w:szCs w:val="24"/>
              </w:rPr>
            </w:pPr>
          </w:p>
          <w:p w14:paraId="0278A126" w14:textId="77777777" w:rsidR="00752F6F" w:rsidRDefault="00752F6F">
            <w:pPr>
              <w:widowControl/>
              <w:spacing w:line="68" w:lineRule="atLeast"/>
              <w:jc w:val="center"/>
              <w:rPr>
                <w:rFonts w:ascii="仿宋" w:eastAsia="仿宋" w:hAnsi="仿宋" w:cs="Arial" w:hint="eastAsia"/>
                <w:kern w:val="0"/>
                <w:sz w:val="24"/>
                <w:szCs w:val="24"/>
              </w:rPr>
            </w:pPr>
          </w:p>
          <w:p w14:paraId="68CAD4F1" w14:textId="77777777" w:rsidR="00752F6F" w:rsidRDefault="00752F6F">
            <w:pPr>
              <w:widowControl/>
              <w:spacing w:line="68" w:lineRule="atLeast"/>
              <w:jc w:val="center"/>
              <w:rPr>
                <w:rFonts w:ascii="仿宋" w:eastAsia="仿宋" w:hAnsi="仿宋" w:cs="Arial" w:hint="eastAsia"/>
                <w:kern w:val="0"/>
                <w:sz w:val="24"/>
                <w:szCs w:val="24"/>
              </w:rPr>
            </w:pPr>
          </w:p>
          <w:p w14:paraId="48581859" w14:textId="77777777" w:rsidR="00752F6F" w:rsidRDefault="00752F6F">
            <w:pPr>
              <w:widowControl/>
              <w:spacing w:line="68" w:lineRule="atLeast"/>
              <w:jc w:val="center"/>
              <w:rPr>
                <w:rFonts w:ascii="仿宋" w:eastAsia="仿宋" w:hAnsi="仿宋" w:cs="Arial" w:hint="eastAsia"/>
                <w:kern w:val="0"/>
                <w:sz w:val="24"/>
                <w:szCs w:val="24"/>
              </w:rPr>
            </w:pPr>
          </w:p>
          <w:p w14:paraId="76AAE40C" w14:textId="77777777" w:rsidR="00752F6F" w:rsidRDefault="00752F6F">
            <w:pPr>
              <w:widowControl/>
              <w:spacing w:line="68" w:lineRule="atLeast"/>
              <w:jc w:val="center"/>
              <w:rPr>
                <w:rFonts w:ascii="仿宋" w:eastAsia="仿宋" w:hAnsi="仿宋" w:cs="Arial" w:hint="eastAsia"/>
                <w:kern w:val="0"/>
                <w:sz w:val="24"/>
                <w:szCs w:val="24"/>
              </w:rPr>
            </w:pPr>
          </w:p>
          <w:p w14:paraId="14FB98C6" w14:textId="77777777" w:rsidR="00752F6F" w:rsidRDefault="00752F6F">
            <w:pPr>
              <w:widowControl/>
              <w:spacing w:line="68" w:lineRule="atLeast"/>
              <w:jc w:val="center"/>
              <w:rPr>
                <w:rFonts w:ascii="仿宋" w:eastAsia="仿宋" w:hAnsi="仿宋" w:cs="Arial" w:hint="eastAsia"/>
                <w:kern w:val="0"/>
                <w:sz w:val="24"/>
                <w:szCs w:val="24"/>
              </w:rPr>
            </w:pPr>
          </w:p>
          <w:p w14:paraId="13209383" w14:textId="77777777" w:rsidR="00752F6F" w:rsidRDefault="00752F6F">
            <w:pPr>
              <w:widowControl/>
              <w:spacing w:line="68" w:lineRule="atLeast"/>
              <w:jc w:val="center"/>
              <w:rPr>
                <w:rFonts w:ascii="仿宋" w:eastAsia="仿宋" w:hAnsi="仿宋" w:cs="Arial" w:hint="eastAsia"/>
                <w:kern w:val="0"/>
                <w:sz w:val="24"/>
                <w:szCs w:val="24"/>
              </w:rPr>
            </w:pPr>
          </w:p>
          <w:p w14:paraId="63C7C92D" w14:textId="77777777" w:rsidR="00752F6F" w:rsidRDefault="00752F6F">
            <w:pPr>
              <w:widowControl/>
              <w:spacing w:line="68" w:lineRule="atLeast"/>
              <w:jc w:val="center"/>
              <w:rPr>
                <w:rFonts w:ascii="仿宋" w:eastAsia="仿宋" w:hAnsi="仿宋" w:cs="Arial" w:hint="eastAsia"/>
                <w:kern w:val="0"/>
                <w:sz w:val="24"/>
                <w:szCs w:val="24"/>
              </w:rPr>
            </w:pPr>
          </w:p>
          <w:p w14:paraId="027DB338" w14:textId="77777777" w:rsidR="00752F6F" w:rsidRDefault="00000000">
            <w:pPr>
              <w:widowControl/>
              <w:spacing w:line="68" w:lineRule="atLeast"/>
              <w:jc w:val="center"/>
              <w:rPr>
                <w:rFonts w:ascii="仿宋" w:eastAsia="仿宋" w:hAnsi="仿宋" w:cs="Arial" w:hint="eastAsia"/>
                <w:kern w:val="0"/>
                <w:sz w:val="24"/>
                <w:szCs w:val="24"/>
              </w:rPr>
            </w:pPr>
            <w:r>
              <w:rPr>
                <w:rFonts w:ascii="仿宋" w:eastAsia="仿宋" w:hAnsi="仿宋" w:cs="Arial"/>
                <w:kern w:val="0"/>
                <w:sz w:val="24"/>
                <w:szCs w:val="24"/>
              </w:rPr>
              <w:lastRenderedPageBreak/>
              <w:t>过程</w:t>
            </w:r>
            <w:r>
              <w:rPr>
                <w:rFonts w:ascii="仿宋" w:eastAsia="仿宋" w:hAnsi="仿宋" w:cs="Arial" w:hint="eastAsia"/>
                <w:kern w:val="0"/>
                <w:sz w:val="24"/>
                <w:szCs w:val="24"/>
              </w:rPr>
              <w:t>(55分)</w:t>
            </w:r>
          </w:p>
          <w:p w14:paraId="2B512617" w14:textId="77777777" w:rsidR="00752F6F" w:rsidRDefault="00752F6F">
            <w:pPr>
              <w:widowControl/>
              <w:spacing w:line="68" w:lineRule="atLeast"/>
              <w:jc w:val="center"/>
              <w:rPr>
                <w:rFonts w:ascii="仿宋" w:eastAsia="仿宋" w:hAnsi="仿宋" w:cs="Arial" w:hint="eastAsia"/>
                <w:kern w:val="0"/>
                <w:sz w:val="24"/>
                <w:szCs w:val="24"/>
              </w:rPr>
            </w:pPr>
          </w:p>
          <w:p w14:paraId="632F036B" w14:textId="77777777" w:rsidR="00752F6F" w:rsidRDefault="00752F6F">
            <w:pPr>
              <w:widowControl/>
              <w:spacing w:line="68" w:lineRule="atLeast"/>
              <w:jc w:val="center"/>
              <w:rPr>
                <w:rFonts w:ascii="仿宋" w:eastAsia="仿宋" w:hAnsi="仿宋" w:cs="Arial" w:hint="eastAsia"/>
                <w:kern w:val="0"/>
                <w:sz w:val="24"/>
                <w:szCs w:val="24"/>
              </w:rPr>
            </w:pPr>
          </w:p>
          <w:p w14:paraId="1DA30028" w14:textId="77777777" w:rsidR="00752F6F" w:rsidRDefault="00752F6F">
            <w:pPr>
              <w:widowControl/>
              <w:spacing w:line="68" w:lineRule="atLeast"/>
              <w:jc w:val="center"/>
              <w:rPr>
                <w:rFonts w:ascii="仿宋" w:eastAsia="仿宋" w:hAnsi="仿宋" w:cs="Arial" w:hint="eastAsia"/>
                <w:kern w:val="0"/>
                <w:sz w:val="24"/>
                <w:szCs w:val="24"/>
              </w:rPr>
            </w:pPr>
          </w:p>
          <w:p w14:paraId="1149C1AC" w14:textId="77777777" w:rsidR="00752F6F" w:rsidRDefault="00752F6F">
            <w:pPr>
              <w:widowControl/>
              <w:spacing w:line="68" w:lineRule="atLeast"/>
              <w:jc w:val="center"/>
              <w:rPr>
                <w:rFonts w:ascii="仿宋" w:eastAsia="仿宋" w:hAnsi="仿宋" w:cs="Arial" w:hint="eastAsia"/>
                <w:kern w:val="0"/>
                <w:sz w:val="24"/>
                <w:szCs w:val="24"/>
              </w:rPr>
            </w:pPr>
          </w:p>
          <w:p w14:paraId="55978D5E" w14:textId="77777777" w:rsidR="00752F6F" w:rsidRDefault="00752F6F">
            <w:pPr>
              <w:widowControl/>
              <w:spacing w:line="68" w:lineRule="atLeast"/>
              <w:jc w:val="center"/>
              <w:rPr>
                <w:rFonts w:ascii="仿宋" w:eastAsia="仿宋" w:hAnsi="仿宋" w:cs="Arial" w:hint="eastAsia"/>
                <w:kern w:val="0"/>
                <w:sz w:val="24"/>
                <w:szCs w:val="24"/>
              </w:rPr>
            </w:pPr>
          </w:p>
          <w:p w14:paraId="32173D98" w14:textId="77777777" w:rsidR="00752F6F" w:rsidRDefault="00752F6F">
            <w:pPr>
              <w:widowControl/>
              <w:spacing w:line="68" w:lineRule="atLeast"/>
              <w:jc w:val="center"/>
              <w:rPr>
                <w:rFonts w:ascii="仿宋" w:eastAsia="仿宋" w:hAnsi="仿宋" w:cs="Arial" w:hint="eastAsia"/>
                <w:kern w:val="0"/>
                <w:sz w:val="24"/>
                <w:szCs w:val="24"/>
              </w:rPr>
            </w:pPr>
          </w:p>
          <w:p w14:paraId="40A2C005" w14:textId="77777777" w:rsidR="00752F6F" w:rsidRDefault="00752F6F">
            <w:pPr>
              <w:widowControl/>
              <w:spacing w:line="68" w:lineRule="atLeast"/>
              <w:jc w:val="center"/>
              <w:rPr>
                <w:rFonts w:ascii="仿宋" w:eastAsia="仿宋" w:hAnsi="仿宋" w:cs="Arial" w:hint="eastAsia"/>
                <w:kern w:val="0"/>
                <w:sz w:val="24"/>
                <w:szCs w:val="24"/>
              </w:rPr>
            </w:pPr>
          </w:p>
          <w:p w14:paraId="3EAD4473" w14:textId="77777777" w:rsidR="00752F6F" w:rsidRDefault="00752F6F">
            <w:pPr>
              <w:widowControl/>
              <w:spacing w:line="68" w:lineRule="atLeast"/>
              <w:jc w:val="center"/>
              <w:rPr>
                <w:rFonts w:ascii="仿宋" w:eastAsia="仿宋" w:hAnsi="仿宋" w:cs="Arial" w:hint="eastAsia"/>
                <w:kern w:val="0"/>
                <w:sz w:val="24"/>
                <w:szCs w:val="24"/>
              </w:rPr>
            </w:pPr>
          </w:p>
          <w:p w14:paraId="1827D84E" w14:textId="77777777" w:rsidR="00752F6F" w:rsidRDefault="00752F6F">
            <w:pPr>
              <w:widowControl/>
              <w:spacing w:line="68" w:lineRule="atLeast"/>
              <w:rPr>
                <w:rFonts w:ascii="仿宋" w:eastAsia="仿宋" w:hAnsi="仿宋" w:cs="宋体" w:hint="eastAsia"/>
                <w:kern w:val="0"/>
                <w:sz w:val="24"/>
                <w:szCs w:val="24"/>
              </w:rPr>
            </w:pPr>
          </w:p>
          <w:p w14:paraId="4BA1EAB9" w14:textId="77777777" w:rsidR="00752F6F" w:rsidRDefault="00752F6F">
            <w:pPr>
              <w:widowControl/>
              <w:spacing w:line="68" w:lineRule="atLeast"/>
              <w:rPr>
                <w:rFonts w:ascii="仿宋" w:eastAsia="仿宋" w:hAnsi="仿宋" w:cs="宋体" w:hint="eastAsia"/>
                <w:kern w:val="0"/>
                <w:sz w:val="24"/>
                <w:szCs w:val="24"/>
              </w:rPr>
            </w:pPr>
          </w:p>
          <w:p w14:paraId="1DB69280" w14:textId="77777777" w:rsidR="00752F6F" w:rsidRDefault="00752F6F">
            <w:pPr>
              <w:widowControl/>
              <w:spacing w:line="68" w:lineRule="atLeast"/>
              <w:rPr>
                <w:rFonts w:ascii="仿宋" w:eastAsia="仿宋" w:hAnsi="仿宋" w:cs="宋体" w:hint="eastAsia"/>
                <w:kern w:val="0"/>
                <w:sz w:val="24"/>
                <w:szCs w:val="24"/>
              </w:rPr>
            </w:pPr>
          </w:p>
          <w:p w14:paraId="001F036F" w14:textId="77777777" w:rsidR="00752F6F" w:rsidRDefault="00752F6F">
            <w:pPr>
              <w:widowControl/>
              <w:spacing w:line="68" w:lineRule="atLeast"/>
              <w:rPr>
                <w:rFonts w:ascii="仿宋" w:eastAsia="仿宋" w:hAnsi="仿宋" w:cs="宋体" w:hint="eastAsia"/>
                <w:kern w:val="0"/>
                <w:sz w:val="24"/>
                <w:szCs w:val="24"/>
              </w:rPr>
            </w:pPr>
          </w:p>
          <w:p w14:paraId="40D35F03" w14:textId="77777777" w:rsidR="00752F6F" w:rsidRDefault="00752F6F">
            <w:pPr>
              <w:widowControl/>
              <w:spacing w:line="68" w:lineRule="atLeast"/>
              <w:rPr>
                <w:rFonts w:ascii="仿宋" w:eastAsia="仿宋" w:hAnsi="仿宋" w:cs="宋体" w:hint="eastAsia"/>
                <w:kern w:val="0"/>
                <w:sz w:val="24"/>
                <w:szCs w:val="24"/>
              </w:rPr>
            </w:pPr>
          </w:p>
          <w:p w14:paraId="07F0DDF2" w14:textId="77777777" w:rsidR="00752F6F" w:rsidRDefault="00000000">
            <w:pPr>
              <w:widowControl/>
              <w:spacing w:line="68" w:lineRule="atLeast"/>
              <w:jc w:val="center"/>
              <w:rPr>
                <w:rFonts w:ascii="仿宋" w:eastAsia="仿宋" w:hAnsi="仿宋" w:cs="Arial" w:hint="eastAsia"/>
                <w:kern w:val="0"/>
                <w:sz w:val="24"/>
                <w:szCs w:val="24"/>
              </w:rPr>
            </w:pPr>
            <w:r>
              <w:rPr>
                <w:rFonts w:ascii="仿宋" w:eastAsia="仿宋" w:hAnsi="仿宋" w:cs="Arial"/>
                <w:kern w:val="0"/>
                <w:sz w:val="24"/>
                <w:szCs w:val="24"/>
              </w:rPr>
              <w:t>过程</w:t>
            </w:r>
            <w:r>
              <w:rPr>
                <w:rFonts w:ascii="仿宋" w:eastAsia="仿宋" w:hAnsi="仿宋" w:cs="Arial" w:hint="eastAsia"/>
                <w:kern w:val="0"/>
                <w:sz w:val="24"/>
                <w:szCs w:val="24"/>
              </w:rPr>
              <w:t>(55分)</w:t>
            </w:r>
          </w:p>
          <w:p w14:paraId="3E7F4556" w14:textId="77777777" w:rsidR="00752F6F" w:rsidRDefault="00752F6F">
            <w:pPr>
              <w:widowControl/>
              <w:spacing w:line="68" w:lineRule="atLeast"/>
              <w:rPr>
                <w:rFonts w:ascii="仿宋" w:eastAsia="仿宋" w:hAnsi="仿宋" w:cs="宋体" w:hint="eastAsia"/>
                <w:kern w:val="0"/>
                <w:sz w:val="24"/>
                <w:szCs w:val="24"/>
              </w:rPr>
            </w:pPr>
          </w:p>
        </w:tc>
        <w:tc>
          <w:tcPr>
            <w:tcW w:w="803" w:type="dxa"/>
            <w:vMerge w:val="restart"/>
            <w:tcBorders>
              <w:top w:val="single" w:sz="4" w:space="0" w:color="000000"/>
              <w:left w:val="single" w:sz="4" w:space="0" w:color="000000"/>
              <w:bottom w:val="single" w:sz="4" w:space="0" w:color="000000"/>
              <w:right w:val="single" w:sz="4" w:space="0" w:color="000000"/>
            </w:tcBorders>
            <w:vAlign w:val="center"/>
          </w:tcPr>
          <w:p w14:paraId="3393C57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lastRenderedPageBreak/>
              <w:t>预算执行</w:t>
            </w:r>
            <w:r>
              <w:rPr>
                <w:rFonts w:ascii="仿宋" w:eastAsia="仿宋" w:hAnsi="仿宋" w:cs="Arial" w:hint="eastAsia"/>
                <w:kern w:val="0"/>
                <w:sz w:val="24"/>
                <w:szCs w:val="24"/>
              </w:rPr>
              <w:t>(</w:t>
            </w:r>
            <w:r>
              <w:rPr>
                <w:rFonts w:ascii="仿宋" w:eastAsia="仿宋" w:hAnsi="仿宋" w:cs="Arial"/>
                <w:kern w:val="0"/>
                <w:sz w:val="24"/>
                <w:szCs w:val="24"/>
              </w:rPr>
              <w:t>27</w:t>
            </w:r>
            <w:r>
              <w:rPr>
                <w:rFonts w:ascii="仿宋" w:eastAsia="仿宋" w:hAnsi="仿宋" w:cs="Arial" w:hint="eastAsia"/>
                <w:kern w:val="0"/>
                <w:sz w:val="24"/>
                <w:szCs w:val="24"/>
              </w:rPr>
              <w:t>分)</w:t>
            </w:r>
          </w:p>
        </w:tc>
        <w:tc>
          <w:tcPr>
            <w:tcW w:w="1182" w:type="dxa"/>
            <w:tcBorders>
              <w:top w:val="single" w:sz="4" w:space="0" w:color="000000"/>
              <w:left w:val="single" w:sz="4" w:space="0" w:color="000000"/>
              <w:bottom w:val="single" w:sz="4" w:space="0" w:color="000000"/>
              <w:right w:val="single" w:sz="4" w:space="0" w:color="auto"/>
            </w:tcBorders>
            <w:vAlign w:val="center"/>
          </w:tcPr>
          <w:p w14:paraId="470B3C2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预算完成率（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15104AF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通过对部门本年度预算完成数与预算数的比较，反映和评价部门预算的完成程度。</w:t>
            </w:r>
          </w:p>
          <w:p w14:paraId="2D17A2B2"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预算完成率</w:t>
            </w:r>
            <w:r>
              <w:rPr>
                <w:rFonts w:ascii="仿宋" w:eastAsia="仿宋" w:hAnsi="仿宋" w:cs="Arial" w:hint="eastAsia"/>
                <w:kern w:val="0"/>
                <w:sz w:val="24"/>
                <w:szCs w:val="24"/>
              </w:rPr>
              <w:t>=</w:t>
            </w:r>
            <w:r>
              <w:rPr>
                <w:rFonts w:ascii="仿宋" w:eastAsia="仿宋" w:hAnsi="仿宋" w:cs="Arial"/>
                <w:kern w:val="0"/>
                <w:sz w:val="24"/>
                <w:szCs w:val="24"/>
              </w:rPr>
              <w:t>（预算完成数</w:t>
            </w:r>
            <w:r>
              <w:rPr>
                <w:rFonts w:ascii="仿宋" w:eastAsia="仿宋" w:hAnsi="仿宋" w:cs="Arial" w:hint="eastAsia"/>
                <w:kern w:val="0"/>
                <w:sz w:val="24"/>
                <w:szCs w:val="24"/>
              </w:rPr>
              <w:t>/</w:t>
            </w:r>
            <w:r>
              <w:rPr>
                <w:rFonts w:ascii="仿宋" w:eastAsia="仿宋" w:hAnsi="仿宋" w:cs="Arial"/>
                <w:kern w:val="0"/>
                <w:sz w:val="24"/>
                <w:szCs w:val="24"/>
              </w:rPr>
              <w:t>预算数）×</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000000"/>
              <w:left w:val="single" w:sz="4" w:space="0" w:color="auto"/>
              <w:bottom w:val="single" w:sz="4" w:space="0" w:color="000000"/>
              <w:right w:val="single" w:sz="4" w:space="0" w:color="auto"/>
            </w:tcBorders>
            <w:vAlign w:val="center"/>
          </w:tcPr>
          <w:p w14:paraId="7EC94168"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目标值≥100%；</w:t>
            </w:r>
          </w:p>
          <w:p w14:paraId="09DF1C36"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达到目标值的得3分；</w:t>
            </w:r>
          </w:p>
          <w:p w14:paraId="4F49E69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100%＞结果≥90%，得3分；</w:t>
            </w:r>
          </w:p>
          <w:p w14:paraId="6120C1D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90%＞结果≥80%，得1分；</w:t>
            </w:r>
          </w:p>
          <w:p w14:paraId="40B946C6"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结果＜</w:t>
            </w:r>
            <w:r>
              <w:rPr>
                <w:rFonts w:ascii="仿宋" w:eastAsia="仿宋" w:hAnsi="仿宋" w:cs="宋体" w:hint="eastAsia"/>
                <w:kern w:val="0"/>
                <w:sz w:val="24"/>
                <w:szCs w:val="24"/>
              </w:rPr>
              <w:t>80%得0分。</w:t>
            </w:r>
          </w:p>
        </w:tc>
        <w:tc>
          <w:tcPr>
            <w:tcW w:w="1090" w:type="dxa"/>
            <w:tcBorders>
              <w:top w:val="single" w:sz="4" w:space="0" w:color="000000"/>
              <w:left w:val="single" w:sz="4" w:space="0" w:color="auto"/>
              <w:bottom w:val="single" w:sz="4" w:space="0" w:color="000000"/>
              <w:right w:val="single" w:sz="4" w:space="0" w:color="000000"/>
            </w:tcBorders>
            <w:vAlign w:val="center"/>
          </w:tcPr>
          <w:p w14:paraId="1EDCE276"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3F9FD20C" w14:textId="77777777">
        <w:trPr>
          <w:trHeight w:val="68"/>
          <w:jc w:val="center"/>
        </w:trPr>
        <w:tc>
          <w:tcPr>
            <w:tcW w:w="733" w:type="dxa"/>
            <w:vMerge/>
            <w:tcBorders>
              <w:left w:val="single" w:sz="4" w:space="0" w:color="000000"/>
              <w:right w:val="single" w:sz="4" w:space="0" w:color="000000"/>
            </w:tcBorders>
            <w:vAlign w:val="center"/>
          </w:tcPr>
          <w:p w14:paraId="68B9D6CE"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3C72879C"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10C93F4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预算调整率（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138DEF0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部门本年度预算调整数与预算数的比率，用以反映和评价部门预算的调整程度。</w:t>
            </w:r>
          </w:p>
          <w:p w14:paraId="471682CE"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预算调整率</w:t>
            </w:r>
            <w:r>
              <w:rPr>
                <w:rFonts w:ascii="仿宋" w:eastAsia="仿宋" w:hAnsi="仿宋" w:cs="Arial" w:hint="eastAsia"/>
                <w:kern w:val="0"/>
                <w:sz w:val="24"/>
                <w:szCs w:val="24"/>
              </w:rPr>
              <w:t>=</w:t>
            </w:r>
            <w:r>
              <w:rPr>
                <w:rFonts w:ascii="仿宋" w:eastAsia="仿宋" w:hAnsi="仿宋" w:cs="Arial"/>
                <w:kern w:val="0"/>
                <w:sz w:val="24"/>
                <w:szCs w:val="24"/>
              </w:rPr>
              <w:t>（预算调整数</w:t>
            </w:r>
            <w:r>
              <w:rPr>
                <w:rFonts w:ascii="仿宋" w:eastAsia="仿宋" w:hAnsi="仿宋" w:cs="Arial" w:hint="eastAsia"/>
                <w:kern w:val="0"/>
                <w:sz w:val="24"/>
                <w:szCs w:val="24"/>
              </w:rPr>
              <w:t>/</w:t>
            </w:r>
            <w:r>
              <w:rPr>
                <w:rFonts w:ascii="仿宋" w:eastAsia="仿宋" w:hAnsi="仿宋" w:cs="Arial"/>
                <w:kern w:val="0"/>
                <w:sz w:val="24"/>
                <w:szCs w:val="24"/>
              </w:rPr>
              <w:t>预算数）×</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000000"/>
              <w:left w:val="single" w:sz="4" w:space="0" w:color="auto"/>
              <w:bottom w:val="single" w:sz="4" w:space="0" w:color="000000"/>
              <w:right w:val="single" w:sz="4" w:space="0" w:color="auto"/>
            </w:tcBorders>
            <w:vAlign w:val="center"/>
          </w:tcPr>
          <w:p w14:paraId="45A4EE5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目标值为10%；达到目标值得3分，未达到目标值的每增加0.1个百分点扣0.1分，扣完为止。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14:paraId="6357F005"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1</w:t>
            </w:r>
          </w:p>
        </w:tc>
      </w:tr>
      <w:tr w:rsidR="00752F6F" w14:paraId="6D7C7680" w14:textId="77777777">
        <w:trPr>
          <w:trHeight w:val="1551"/>
          <w:jc w:val="center"/>
        </w:trPr>
        <w:tc>
          <w:tcPr>
            <w:tcW w:w="733" w:type="dxa"/>
            <w:vMerge/>
            <w:tcBorders>
              <w:left w:val="single" w:sz="4" w:space="0" w:color="000000"/>
              <w:right w:val="single" w:sz="4" w:space="0" w:color="000000"/>
            </w:tcBorders>
            <w:vAlign w:val="center"/>
          </w:tcPr>
          <w:p w14:paraId="7149F537"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3D513D89"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70B282A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color w:val="000000"/>
                <w:kern w:val="0"/>
                <w:sz w:val="24"/>
                <w:szCs w:val="24"/>
              </w:rPr>
              <w:t>支付进度率</w:t>
            </w:r>
            <w:r>
              <w:rPr>
                <w:rFonts w:ascii="仿宋" w:eastAsia="仿宋" w:hAnsi="仿宋" w:cs="Arial"/>
                <w:kern w:val="0"/>
                <w:sz w:val="24"/>
                <w:szCs w:val="24"/>
              </w:rPr>
              <w:t>（</w:t>
            </w:r>
            <w:r>
              <w:rPr>
                <w:rFonts w:ascii="仿宋" w:eastAsia="仿宋" w:hAnsi="仿宋" w:cs="Arial" w:hint="eastAsia"/>
                <w:kern w:val="0"/>
                <w:sz w:val="24"/>
                <w:szCs w:val="24"/>
              </w:rPr>
              <w:t>6分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0B4BA20E"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w:t>
            </w:r>
            <w:r>
              <w:rPr>
                <w:rFonts w:ascii="仿宋" w:eastAsia="仿宋" w:hAnsi="仿宋" w:cs="Arial" w:hint="eastAsia"/>
                <w:kern w:val="0"/>
                <w:sz w:val="24"/>
                <w:szCs w:val="24"/>
              </w:rPr>
              <w:t>年</w:t>
            </w:r>
            <w:r>
              <w:rPr>
                <w:rFonts w:ascii="仿宋" w:eastAsia="仿宋" w:hAnsi="仿宋" w:cs="Arial"/>
                <w:kern w:val="0"/>
                <w:sz w:val="24"/>
                <w:szCs w:val="24"/>
              </w:rPr>
              <w:t>度支付数与</w:t>
            </w:r>
            <w:r>
              <w:rPr>
                <w:rFonts w:ascii="仿宋" w:eastAsia="仿宋" w:hAnsi="仿宋" w:cs="Arial" w:hint="eastAsia"/>
                <w:kern w:val="0"/>
                <w:sz w:val="24"/>
                <w:szCs w:val="24"/>
              </w:rPr>
              <w:t>年</w:t>
            </w:r>
            <w:r>
              <w:rPr>
                <w:rFonts w:ascii="仿宋" w:eastAsia="仿宋" w:hAnsi="仿宋" w:cs="Arial"/>
                <w:kern w:val="0"/>
                <w:sz w:val="24"/>
                <w:szCs w:val="24"/>
              </w:rPr>
              <w:t>度</w:t>
            </w:r>
            <w:r>
              <w:rPr>
                <w:rFonts w:ascii="仿宋" w:eastAsia="仿宋" w:hAnsi="仿宋" w:cs="Arial" w:hint="eastAsia"/>
                <w:kern w:val="0"/>
                <w:sz w:val="24"/>
                <w:szCs w:val="24"/>
              </w:rPr>
              <w:t>预算（调整）</w:t>
            </w:r>
            <w:r>
              <w:rPr>
                <w:rFonts w:ascii="仿宋" w:eastAsia="仿宋" w:hAnsi="仿宋" w:cs="Arial"/>
                <w:kern w:val="0"/>
                <w:sz w:val="24"/>
                <w:szCs w:val="24"/>
              </w:rPr>
              <w:t>数的比率，用以反映和评价部门预算执行的及时和均衡程度。</w:t>
            </w:r>
          </w:p>
          <w:p w14:paraId="6F94B4F2"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半</w:t>
            </w:r>
            <w:proofErr w:type="gramStart"/>
            <w:r>
              <w:rPr>
                <w:rFonts w:ascii="仿宋" w:eastAsia="仿宋" w:hAnsi="仿宋" w:cs="宋体" w:hint="eastAsia"/>
                <w:kern w:val="0"/>
                <w:sz w:val="24"/>
                <w:szCs w:val="24"/>
              </w:rPr>
              <w:t>年支付</w:t>
            </w:r>
            <w:proofErr w:type="gramEnd"/>
            <w:r>
              <w:rPr>
                <w:rFonts w:ascii="仿宋" w:eastAsia="仿宋" w:hAnsi="仿宋" w:cs="宋体" w:hint="eastAsia"/>
                <w:kern w:val="0"/>
                <w:sz w:val="24"/>
                <w:szCs w:val="24"/>
              </w:rPr>
              <w:t>进度=部门上半年实际支出÷（上年结余结转+本年部门预算安排+上半年执行中追加追减）×100%</w:t>
            </w:r>
          </w:p>
          <w:p w14:paraId="36EE9B28"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全年支付进度=部门全年实际支出÷（上年结余结转+本年部门预算安排+全年执行中追加追减）×100%</w:t>
            </w:r>
          </w:p>
        </w:tc>
        <w:tc>
          <w:tcPr>
            <w:tcW w:w="3780" w:type="dxa"/>
            <w:tcBorders>
              <w:top w:val="single" w:sz="4" w:space="0" w:color="000000"/>
              <w:left w:val="single" w:sz="4" w:space="0" w:color="auto"/>
              <w:bottom w:val="single" w:sz="4" w:space="0" w:color="000000"/>
              <w:right w:val="single" w:sz="4" w:space="0" w:color="auto"/>
            </w:tcBorders>
            <w:vAlign w:val="center"/>
          </w:tcPr>
          <w:p w14:paraId="7AC30F17"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半年进度：结果≥50%，得2分；50%＞结果≥40%，得1分；结果＜40%，得0分。</w:t>
            </w:r>
          </w:p>
          <w:p w14:paraId="2826E316"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全年进度：结果≥100%，得4分；100%＞结果≥95%，得3分；95%＞结果≥90%，得2分；90%＞结果≥85%，得2分；结果＜85%，得0分。</w:t>
            </w:r>
          </w:p>
        </w:tc>
        <w:tc>
          <w:tcPr>
            <w:tcW w:w="1090" w:type="dxa"/>
            <w:tcBorders>
              <w:top w:val="single" w:sz="4" w:space="0" w:color="000000"/>
              <w:left w:val="single" w:sz="4" w:space="0" w:color="auto"/>
              <w:bottom w:val="single" w:sz="4" w:space="0" w:color="000000"/>
              <w:right w:val="single" w:sz="4" w:space="0" w:color="000000"/>
            </w:tcBorders>
            <w:vAlign w:val="center"/>
          </w:tcPr>
          <w:p w14:paraId="76E29509" w14:textId="77777777" w:rsidR="00752F6F" w:rsidRDefault="00000000">
            <w:pPr>
              <w:widowControl/>
              <w:spacing w:line="240" w:lineRule="exact"/>
              <w:jc w:val="center"/>
              <w:rPr>
                <w:rFonts w:ascii="仿宋" w:eastAsia="仿宋" w:hAnsi="仿宋" w:cs="宋体" w:hint="eastAsia"/>
                <w:kern w:val="0"/>
                <w:sz w:val="24"/>
                <w:szCs w:val="24"/>
              </w:rPr>
            </w:pPr>
            <w:r>
              <w:rPr>
                <w:rFonts w:ascii="宋体" w:eastAsia="仿宋" w:hAnsi="宋体" w:cs="Arial" w:hint="eastAsia"/>
                <w:kern w:val="0"/>
                <w:sz w:val="20"/>
                <w:szCs w:val="24"/>
              </w:rPr>
              <w:t>2</w:t>
            </w:r>
          </w:p>
        </w:tc>
      </w:tr>
      <w:tr w:rsidR="00752F6F" w14:paraId="11B3693E" w14:textId="77777777">
        <w:trPr>
          <w:trHeight w:val="938"/>
          <w:jc w:val="center"/>
        </w:trPr>
        <w:tc>
          <w:tcPr>
            <w:tcW w:w="733" w:type="dxa"/>
            <w:vMerge/>
            <w:tcBorders>
              <w:left w:val="single" w:sz="4" w:space="0" w:color="000000"/>
              <w:right w:val="single" w:sz="4" w:space="0" w:color="000000"/>
            </w:tcBorders>
            <w:vAlign w:val="center"/>
          </w:tcPr>
          <w:p w14:paraId="5ADAECA2"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1BB4DE7E"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04C840D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结转结余率（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116D6E3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通过对部门本年度结转结余总额与支出预算数的比较，反映和评价部门对本年度结转结余资金的实际控制程度。</w:t>
            </w:r>
          </w:p>
          <w:p w14:paraId="2E2A57E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结转结余率</w:t>
            </w:r>
            <w:r>
              <w:rPr>
                <w:rFonts w:ascii="仿宋" w:eastAsia="仿宋" w:hAnsi="仿宋" w:cs="Arial" w:hint="eastAsia"/>
                <w:kern w:val="0"/>
                <w:sz w:val="24"/>
                <w:szCs w:val="24"/>
              </w:rPr>
              <w:t>=</w:t>
            </w:r>
            <w:r>
              <w:rPr>
                <w:rFonts w:ascii="仿宋" w:eastAsia="仿宋" w:hAnsi="仿宋" w:cs="Arial"/>
                <w:kern w:val="0"/>
                <w:sz w:val="24"/>
                <w:szCs w:val="24"/>
              </w:rPr>
              <w:t>（结转结余总额</w:t>
            </w:r>
            <w:r>
              <w:rPr>
                <w:rFonts w:ascii="仿宋" w:eastAsia="仿宋" w:hAnsi="仿宋" w:cs="Arial" w:hint="eastAsia"/>
                <w:kern w:val="0"/>
                <w:sz w:val="24"/>
                <w:szCs w:val="24"/>
              </w:rPr>
              <w:t>/</w:t>
            </w:r>
            <w:r>
              <w:rPr>
                <w:rFonts w:ascii="仿宋" w:eastAsia="仿宋" w:hAnsi="仿宋" w:cs="Arial"/>
                <w:kern w:val="0"/>
                <w:sz w:val="24"/>
                <w:szCs w:val="24"/>
              </w:rPr>
              <w:t>支出预算数）×</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000000"/>
              <w:left w:val="single" w:sz="4" w:space="0" w:color="auto"/>
              <w:bottom w:val="single" w:sz="4" w:space="0" w:color="000000"/>
              <w:right w:val="single" w:sz="4" w:space="0" w:color="auto"/>
            </w:tcBorders>
            <w:vAlign w:val="center"/>
          </w:tcPr>
          <w:p w14:paraId="297BE30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目标值为0；达到目标值得3分，未达到目标值的每增加0.1个百分点扣0.1分，扣完为止。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14:paraId="10C286A0" w14:textId="77777777" w:rsidR="00752F6F" w:rsidRDefault="00000000">
            <w:pPr>
              <w:widowControl/>
              <w:spacing w:line="240" w:lineRule="exact"/>
              <w:jc w:val="center"/>
              <w:rPr>
                <w:rFonts w:ascii="仿宋" w:eastAsia="仿宋" w:hAnsi="仿宋" w:cs="宋体" w:hint="eastAsia"/>
                <w:kern w:val="0"/>
                <w:sz w:val="24"/>
                <w:szCs w:val="24"/>
              </w:rPr>
            </w:pPr>
            <w:r>
              <w:rPr>
                <w:rFonts w:ascii="宋体" w:eastAsia="仿宋" w:hAnsi="宋体" w:cs="Arial" w:hint="eastAsia"/>
                <w:kern w:val="0"/>
                <w:sz w:val="20"/>
                <w:szCs w:val="24"/>
              </w:rPr>
              <w:t>0</w:t>
            </w:r>
          </w:p>
        </w:tc>
      </w:tr>
      <w:tr w:rsidR="00752F6F" w14:paraId="35B6AFA2" w14:textId="77777777">
        <w:trPr>
          <w:trHeight w:val="1537"/>
          <w:jc w:val="center"/>
        </w:trPr>
        <w:tc>
          <w:tcPr>
            <w:tcW w:w="733" w:type="dxa"/>
            <w:vMerge/>
            <w:tcBorders>
              <w:left w:val="single" w:sz="4" w:space="0" w:color="000000"/>
              <w:right w:val="single" w:sz="4" w:space="0" w:color="000000"/>
            </w:tcBorders>
            <w:vAlign w:val="center"/>
          </w:tcPr>
          <w:p w14:paraId="2AD91D15"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663D72E3"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5E6D5A83"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结转结余变动率(3分）</w:t>
            </w:r>
          </w:p>
        </w:tc>
        <w:tc>
          <w:tcPr>
            <w:tcW w:w="6554" w:type="dxa"/>
            <w:tcBorders>
              <w:top w:val="single" w:sz="4" w:space="0" w:color="000000"/>
              <w:left w:val="single" w:sz="4" w:space="0" w:color="auto"/>
              <w:bottom w:val="single" w:sz="4" w:space="0" w:color="000000"/>
              <w:right w:val="single" w:sz="4" w:space="0" w:color="auto"/>
            </w:tcBorders>
            <w:vAlign w:val="center"/>
          </w:tcPr>
          <w:p w14:paraId="24362A95"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部门本年度结转结余资金总额与上年度结转结余资金总额的变动比率，用以反映和考核部门对控制结转结余资金的努力程度。</w:t>
            </w:r>
          </w:p>
          <w:p w14:paraId="4D0C6B8C"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结转结余变动率=〔（本年度累计结转结余资金总额-上年度累计结转结余资金总额）/上年度累计结转结余资金总额〕×100%。</w:t>
            </w:r>
          </w:p>
        </w:tc>
        <w:tc>
          <w:tcPr>
            <w:tcW w:w="3780" w:type="dxa"/>
            <w:tcBorders>
              <w:top w:val="single" w:sz="4" w:space="0" w:color="000000"/>
              <w:left w:val="single" w:sz="4" w:space="0" w:color="auto"/>
              <w:bottom w:val="single" w:sz="4" w:space="0" w:color="000000"/>
              <w:right w:val="single" w:sz="4" w:space="0" w:color="auto"/>
            </w:tcBorders>
            <w:vAlign w:val="center"/>
          </w:tcPr>
          <w:p w14:paraId="7086B665"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目标值为≤0%；达到目标值得3分，未达到目标值的采用比率扣分法：扣分值=结转结余变动率×2×10，变动率达10%以上的扣2分。</w:t>
            </w:r>
          </w:p>
        </w:tc>
        <w:tc>
          <w:tcPr>
            <w:tcW w:w="1090" w:type="dxa"/>
            <w:tcBorders>
              <w:top w:val="single" w:sz="4" w:space="0" w:color="000000"/>
              <w:left w:val="single" w:sz="4" w:space="0" w:color="auto"/>
              <w:bottom w:val="single" w:sz="4" w:space="0" w:color="000000"/>
              <w:right w:val="single" w:sz="4" w:space="0" w:color="000000"/>
            </w:tcBorders>
            <w:vAlign w:val="center"/>
          </w:tcPr>
          <w:p w14:paraId="7B10270A" w14:textId="77777777" w:rsidR="00752F6F" w:rsidRDefault="00000000">
            <w:pPr>
              <w:widowControl/>
              <w:spacing w:line="240" w:lineRule="exact"/>
              <w:jc w:val="center"/>
              <w:rPr>
                <w:rFonts w:ascii="宋体" w:eastAsia="仿宋" w:hAnsi="宋体" w:cs="Arial" w:hint="eastAsia"/>
                <w:kern w:val="0"/>
                <w:sz w:val="20"/>
                <w:szCs w:val="24"/>
              </w:rPr>
            </w:pPr>
            <w:r>
              <w:rPr>
                <w:rFonts w:ascii="宋体" w:eastAsia="仿宋" w:hAnsi="宋体" w:cs="Arial" w:hint="eastAsia"/>
                <w:kern w:val="0"/>
                <w:sz w:val="20"/>
                <w:szCs w:val="24"/>
              </w:rPr>
              <w:t>-2</w:t>
            </w:r>
          </w:p>
        </w:tc>
      </w:tr>
      <w:tr w:rsidR="00752F6F" w14:paraId="75064EE2" w14:textId="77777777">
        <w:trPr>
          <w:trHeight w:val="1335"/>
          <w:jc w:val="center"/>
        </w:trPr>
        <w:tc>
          <w:tcPr>
            <w:tcW w:w="733" w:type="dxa"/>
            <w:vMerge/>
            <w:tcBorders>
              <w:left w:val="single" w:sz="4" w:space="0" w:color="000000"/>
              <w:right w:val="single" w:sz="4" w:space="0" w:color="000000"/>
            </w:tcBorders>
            <w:vAlign w:val="center"/>
          </w:tcPr>
          <w:p w14:paraId="3C7C9D36"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13A805C6"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2FF238A6"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公用经费控制率（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7A74093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通过对部门本年度实际支出的公用经费总额与预算安排的公用经费总额的比率，反映和评价部门对机构运转成本的实际控制程度。</w:t>
            </w:r>
          </w:p>
          <w:p w14:paraId="5092D681"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公用经费控制率</w:t>
            </w:r>
            <w:r>
              <w:rPr>
                <w:rFonts w:ascii="仿宋" w:eastAsia="仿宋" w:hAnsi="仿宋" w:cs="Arial" w:hint="eastAsia"/>
                <w:kern w:val="0"/>
                <w:sz w:val="24"/>
                <w:szCs w:val="24"/>
              </w:rPr>
              <w:t>=</w:t>
            </w:r>
            <w:r>
              <w:rPr>
                <w:rFonts w:ascii="仿宋" w:eastAsia="仿宋" w:hAnsi="仿宋" w:cs="Arial"/>
                <w:kern w:val="0"/>
                <w:sz w:val="24"/>
                <w:szCs w:val="24"/>
              </w:rPr>
              <w:t>（实际支出公用经费总额</w:t>
            </w:r>
            <w:r>
              <w:rPr>
                <w:rFonts w:ascii="仿宋" w:eastAsia="仿宋" w:hAnsi="仿宋" w:cs="Arial" w:hint="eastAsia"/>
                <w:kern w:val="0"/>
                <w:sz w:val="24"/>
                <w:szCs w:val="24"/>
              </w:rPr>
              <w:t>/</w:t>
            </w:r>
            <w:r>
              <w:rPr>
                <w:rFonts w:ascii="仿宋" w:eastAsia="仿宋" w:hAnsi="仿宋" w:cs="Arial"/>
                <w:kern w:val="0"/>
                <w:sz w:val="24"/>
                <w:szCs w:val="24"/>
              </w:rPr>
              <w:t>预算安排公用经费总额）×</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000000"/>
              <w:left w:val="single" w:sz="4" w:space="0" w:color="auto"/>
              <w:bottom w:val="single" w:sz="4" w:space="0" w:color="000000"/>
              <w:right w:val="single" w:sz="4" w:space="0" w:color="auto"/>
            </w:tcBorders>
            <w:vAlign w:val="center"/>
          </w:tcPr>
          <w:p w14:paraId="2C3BE40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目标值为≤100%；达到目标值得3分，未达到目标值的每增加0.1个百分点扣0.1分，扣完为止。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14:paraId="10A71611" w14:textId="77777777" w:rsidR="00752F6F" w:rsidRDefault="00000000">
            <w:pPr>
              <w:widowControl/>
              <w:spacing w:line="240" w:lineRule="exac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5681E7F4" w14:textId="77777777">
        <w:trPr>
          <w:trHeight w:val="1423"/>
          <w:jc w:val="center"/>
        </w:trPr>
        <w:tc>
          <w:tcPr>
            <w:tcW w:w="733" w:type="dxa"/>
            <w:vMerge/>
            <w:tcBorders>
              <w:left w:val="single" w:sz="4" w:space="0" w:color="000000"/>
              <w:right w:val="single" w:sz="4" w:space="0" w:color="000000"/>
            </w:tcBorders>
            <w:vAlign w:val="center"/>
          </w:tcPr>
          <w:p w14:paraId="0E0D2399"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291B62D9"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1AABF680" w14:textId="3DE77E84" w:rsidR="00752F6F" w:rsidRDefault="00A67ADF">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“三公”经费控制率（3分）</w:t>
            </w:r>
          </w:p>
        </w:tc>
        <w:tc>
          <w:tcPr>
            <w:tcW w:w="6554" w:type="dxa"/>
            <w:tcBorders>
              <w:top w:val="single" w:sz="4" w:space="0" w:color="000000"/>
              <w:left w:val="single" w:sz="4" w:space="0" w:color="auto"/>
              <w:bottom w:val="single" w:sz="4" w:space="0" w:color="000000"/>
              <w:right w:val="single" w:sz="4" w:space="0" w:color="auto"/>
            </w:tcBorders>
            <w:vAlign w:val="center"/>
          </w:tcPr>
          <w:p w14:paraId="521C53E8" w14:textId="2EC3520B"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部门（单位）本年度</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实际支出数与预算安排数的比率，用以反映和考核部门（单位）对</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的实际控制程度。</w:t>
            </w:r>
          </w:p>
          <w:p w14:paraId="23CBC918" w14:textId="2B2E3696" w:rsidR="00752F6F" w:rsidRDefault="00A67ADF">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“三公”经费控制率=（</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实际支出/</w:t>
            </w:r>
            <w:r w:rsidR="00757637">
              <w:rPr>
                <w:rFonts w:ascii="仿宋" w:eastAsia="仿宋" w:hAnsi="仿宋" w:cs="Arial" w:hint="eastAsia"/>
                <w:kern w:val="0"/>
                <w:sz w:val="24"/>
                <w:szCs w:val="24"/>
              </w:rPr>
              <w:t>“</w:t>
            </w:r>
            <w:r w:rsidR="00757637">
              <w:rPr>
                <w:rFonts w:ascii="仿宋" w:eastAsia="仿宋" w:hAnsi="仿宋" w:cs="Arial" w:hint="eastAsia"/>
                <w:kern w:val="0"/>
                <w:sz w:val="24"/>
                <w:szCs w:val="24"/>
              </w:rPr>
              <w:t>三公”经费</w:t>
            </w:r>
            <w:r>
              <w:rPr>
                <w:rFonts w:ascii="仿宋" w:eastAsia="仿宋" w:hAnsi="仿宋" w:cs="Arial" w:hint="eastAsia"/>
                <w:kern w:val="0"/>
                <w:sz w:val="24"/>
                <w:szCs w:val="24"/>
              </w:rPr>
              <w:t>预算安排数）×100%</w:t>
            </w:r>
          </w:p>
        </w:tc>
        <w:tc>
          <w:tcPr>
            <w:tcW w:w="3780" w:type="dxa"/>
            <w:tcBorders>
              <w:top w:val="single" w:sz="4" w:space="0" w:color="000000"/>
              <w:left w:val="single" w:sz="4" w:space="0" w:color="auto"/>
              <w:bottom w:val="single" w:sz="4" w:space="0" w:color="000000"/>
              <w:right w:val="single" w:sz="4" w:space="0" w:color="auto"/>
            </w:tcBorders>
            <w:vAlign w:val="center"/>
          </w:tcPr>
          <w:p w14:paraId="5BEE6114"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目标值为≤100%；达到目标值得3分，未达到目标值的每增加0.1个百分点扣0.1分，扣完为止。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14:paraId="630F216B" w14:textId="77777777" w:rsidR="00752F6F" w:rsidRDefault="00000000">
            <w:pPr>
              <w:widowControl/>
              <w:spacing w:line="240" w:lineRule="exact"/>
              <w:jc w:val="center"/>
              <w:rPr>
                <w:rFonts w:ascii="宋体" w:eastAsia="仿宋" w:hAnsi="宋体" w:cs="Arial" w:hint="eastAsia"/>
                <w:kern w:val="0"/>
                <w:sz w:val="20"/>
                <w:szCs w:val="24"/>
              </w:rPr>
            </w:pPr>
            <w:r>
              <w:rPr>
                <w:rFonts w:ascii="宋体" w:eastAsia="仿宋" w:hAnsi="宋体" w:cs="Arial" w:hint="eastAsia"/>
                <w:kern w:val="0"/>
                <w:sz w:val="20"/>
                <w:szCs w:val="24"/>
              </w:rPr>
              <w:t>3</w:t>
            </w:r>
          </w:p>
        </w:tc>
      </w:tr>
      <w:tr w:rsidR="00752F6F" w14:paraId="6CED02A6" w14:textId="77777777">
        <w:trPr>
          <w:trHeight w:val="1361"/>
          <w:jc w:val="center"/>
        </w:trPr>
        <w:tc>
          <w:tcPr>
            <w:tcW w:w="733" w:type="dxa"/>
            <w:vMerge/>
            <w:tcBorders>
              <w:left w:val="single" w:sz="4" w:space="0" w:color="000000"/>
              <w:right w:val="single" w:sz="4" w:space="0" w:color="000000"/>
            </w:tcBorders>
            <w:vAlign w:val="center"/>
          </w:tcPr>
          <w:p w14:paraId="50AC4C90" w14:textId="77777777" w:rsidR="00752F6F" w:rsidRDefault="00752F6F">
            <w:pPr>
              <w:widowControl/>
              <w:jc w:val="left"/>
              <w:rPr>
                <w:rFonts w:ascii="仿宋" w:eastAsia="仿宋" w:hAnsi="仿宋" w:cs="宋体" w:hint="eastAsia"/>
                <w:kern w:val="0"/>
                <w:sz w:val="24"/>
                <w:szCs w:val="24"/>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14:paraId="7D0210BE"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53494075"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政府采购执行率（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3C3AB706"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通过对部门本年度实际政府采购预算项目个数与政府采购预算项目个数的比较，反映和评价部门政府采购预算执行情况。</w:t>
            </w:r>
          </w:p>
          <w:p w14:paraId="338C37F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政府采购执行率</w:t>
            </w:r>
            <w:r>
              <w:rPr>
                <w:rFonts w:ascii="仿宋" w:eastAsia="仿宋" w:hAnsi="仿宋" w:cs="Arial" w:hint="eastAsia"/>
                <w:kern w:val="0"/>
                <w:sz w:val="24"/>
                <w:szCs w:val="24"/>
              </w:rPr>
              <w:t>=</w:t>
            </w:r>
            <w:r>
              <w:rPr>
                <w:rFonts w:ascii="仿宋" w:eastAsia="仿宋" w:hAnsi="仿宋" w:cs="Arial"/>
                <w:kern w:val="0"/>
                <w:sz w:val="24"/>
                <w:szCs w:val="24"/>
              </w:rPr>
              <w:t>（实际政府采购预算项目个数</w:t>
            </w:r>
            <w:r>
              <w:rPr>
                <w:rFonts w:ascii="仿宋" w:eastAsia="仿宋" w:hAnsi="仿宋" w:cs="Arial" w:hint="eastAsia"/>
                <w:kern w:val="0"/>
                <w:sz w:val="24"/>
                <w:szCs w:val="24"/>
              </w:rPr>
              <w:t>/</w:t>
            </w:r>
            <w:r>
              <w:rPr>
                <w:rFonts w:ascii="仿宋" w:eastAsia="仿宋" w:hAnsi="仿宋" w:cs="Arial"/>
                <w:kern w:val="0"/>
                <w:sz w:val="24"/>
                <w:szCs w:val="24"/>
              </w:rPr>
              <w:t>政府采购预算项目个数）×</w:t>
            </w:r>
            <w:r>
              <w:rPr>
                <w:rFonts w:ascii="仿宋" w:eastAsia="仿宋" w:hAnsi="仿宋" w:cs="Arial" w:hint="eastAsia"/>
                <w:kern w:val="0"/>
                <w:sz w:val="24"/>
                <w:szCs w:val="24"/>
              </w:rPr>
              <w:t>100%</w:t>
            </w:r>
            <w:r>
              <w:rPr>
                <w:rFonts w:ascii="仿宋" w:eastAsia="仿宋" w:hAnsi="仿宋" w:cs="Arial"/>
                <w:kern w:val="0"/>
                <w:sz w:val="24"/>
                <w:szCs w:val="24"/>
              </w:rPr>
              <w:t>。</w:t>
            </w:r>
          </w:p>
          <w:p w14:paraId="254B25CB"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政府采购项目中非预算内安排的项目除外。</w:t>
            </w:r>
          </w:p>
        </w:tc>
        <w:tc>
          <w:tcPr>
            <w:tcW w:w="3780" w:type="dxa"/>
            <w:tcBorders>
              <w:top w:val="single" w:sz="4" w:space="0" w:color="000000"/>
              <w:left w:val="single" w:sz="4" w:space="0" w:color="auto"/>
              <w:bottom w:val="single" w:sz="4" w:space="0" w:color="000000"/>
              <w:right w:val="single" w:sz="4" w:space="0" w:color="auto"/>
            </w:tcBorders>
            <w:vAlign w:val="center"/>
          </w:tcPr>
          <w:p w14:paraId="4EF59F48"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kern w:val="0"/>
                <w:sz w:val="24"/>
                <w:szCs w:val="24"/>
              </w:rPr>
              <w:t>目标值为100%；以3分为上限，采用完成比率法计分：得分=政府采购执行率×3。</w:t>
            </w:r>
          </w:p>
        </w:tc>
        <w:tc>
          <w:tcPr>
            <w:tcW w:w="1090" w:type="dxa"/>
            <w:tcBorders>
              <w:top w:val="single" w:sz="4" w:space="0" w:color="000000"/>
              <w:left w:val="single" w:sz="4" w:space="0" w:color="auto"/>
              <w:bottom w:val="single" w:sz="4" w:space="0" w:color="000000"/>
              <w:right w:val="single" w:sz="4" w:space="0" w:color="000000"/>
            </w:tcBorders>
            <w:vAlign w:val="center"/>
          </w:tcPr>
          <w:p w14:paraId="3FEC7262" w14:textId="77777777" w:rsidR="00752F6F" w:rsidRDefault="00000000">
            <w:pPr>
              <w:widowControl/>
              <w:spacing w:line="240" w:lineRule="exac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126451B0" w14:textId="77777777">
        <w:trPr>
          <w:trHeight w:val="2014"/>
          <w:jc w:val="center"/>
        </w:trPr>
        <w:tc>
          <w:tcPr>
            <w:tcW w:w="733" w:type="dxa"/>
            <w:vMerge/>
            <w:tcBorders>
              <w:left w:val="single" w:sz="4" w:space="0" w:color="000000"/>
              <w:right w:val="single" w:sz="4" w:space="0" w:color="000000"/>
            </w:tcBorders>
            <w:vAlign w:val="center"/>
          </w:tcPr>
          <w:p w14:paraId="5B8B8D78" w14:textId="77777777" w:rsidR="00752F6F" w:rsidRDefault="00752F6F">
            <w:pPr>
              <w:widowControl/>
              <w:jc w:val="left"/>
              <w:rPr>
                <w:rFonts w:ascii="仿宋" w:eastAsia="仿宋" w:hAnsi="仿宋" w:cs="宋体" w:hint="eastAsia"/>
                <w:kern w:val="0"/>
                <w:sz w:val="24"/>
                <w:szCs w:val="24"/>
              </w:rPr>
            </w:pPr>
          </w:p>
        </w:tc>
        <w:tc>
          <w:tcPr>
            <w:tcW w:w="803" w:type="dxa"/>
            <w:vMerge w:val="restart"/>
            <w:tcBorders>
              <w:top w:val="single" w:sz="4" w:space="0" w:color="000000"/>
              <w:left w:val="single" w:sz="4" w:space="0" w:color="000000"/>
              <w:right w:val="single" w:sz="4" w:space="0" w:color="000000"/>
            </w:tcBorders>
            <w:vAlign w:val="center"/>
          </w:tcPr>
          <w:p w14:paraId="13BF157B" w14:textId="77777777" w:rsidR="00752F6F" w:rsidRDefault="00000000">
            <w:pPr>
              <w:widowControl/>
              <w:spacing w:line="240" w:lineRule="exact"/>
              <w:jc w:val="center"/>
              <w:rPr>
                <w:rFonts w:ascii="仿宋" w:eastAsia="仿宋" w:hAnsi="仿宋" w:cs="宋体" w:hint="eastAsia"/>
                <w:kern w:val="0"/>
                <w:sz w:val="24"/>
                <w:szCs w:val="24"/>
              </w:rPr>
            </w:pPr>
            <w:r>
              <w:rPr>
                <w:rFonts w:ascii="仿宋" w:eastAsia="仿宋" w:hAnsi="仿宋" w:cs="Arial"/>
                <w:kern w:val="0"/>
                <w:sz w:val="24"/>
                <w:szCs w:val="24"/>
              </w:rPr>
              <w:t>预算管理</w:t>
            </w:r>
          </w:p>
          <w:p w14:paraId="24A7BDD7" w14:textId="77777777" w:rsidR="00752F6F" w:rsidRDefault="00000000">
            <w:pPr>
              <w:spacing w:line="68" w:lineRule="atLeast"/>
              <w:jc w:val="center"/>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18分</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000000"/>
              <w:right w:val="single" w:sz="4" w:space="0" w:color="auto"/>
            </w:tcBorders>
            <w:vAlign w:val="center"/>
          </w:tcPr>
          <w:p w14:paraId="522AB6BF"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管理制度健全性</w:t>
            </w:r>
          </w:p>
          <w:p w14:paraId="4BB1AED4"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（2分）</w:t>
            </w:r>
          </w:p>
        </w:tc>
        <w:tc>
          <w:tcPr>
            <w:tcW w:w="6554" w:type="dxa"/>
            <w:tcBorders>
              <w:top w:val="single" w:sz="4" w:space="0" w:color="000000"/>
              <w:left w:val="single" w:sz="4" w:space="0" w:color="auto"/>
              <w:bottom w:val="single" w:sz="4" w:space="0" w:color="000000"/>
              <w:right w:val="single" w:sz="4" w:space="0" w:color="auto"/>
            </w:tcBorders>
            <w:vAlign w:val="center"/>
          </w:tcPr>
          <w:p w14:paraId="7A8CD50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部门为加强预算管理，规范财务行为而制定的管理制度是否健全完整，用以反映和考核部门预算管理制度对完成主要职责或促进事业发展的保障情况。</w:t>
            </w:r>
          </w:p>
          <w:p w14:paraId="07D466FA"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评价要点：</w:t>
            </w:r>
          </w:p>
          <w:p w14:paraId="7A7F2F9A"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1．是否已制定或具有预算资金管理办法、内部财务管理制度、会计核算制度等管理制度；</w:t>
            </w:r>
          </w:p>
          <w:p w14:paraId="7C521C48"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2.相关管理制度是否合法、合</w:t>
            </w:r>
            <w:proofErr w:type="gramStart"/>
            <w:r>
              <w:rPr>
                <w:rFonts w:ascii="仿宋" w:eastAsia="仿宋" w:hAnsi="仿宋" w:cs="Arial" w:hint="eastAsia"/>
                <w:kern w:val="0"/>
                <w:sz w:val="24"/>
                <w:szCs w:val="24"/>
              </w:rPr>
              <w:t>规</w:t>
            </w:r>
            <w:proofErr w:type="gramEnd"/>
            <w:r>
              <w:rPr>
                <w:rFonts w:ascii="仿宋" w:eastAsia="仿宋" w:hAnsi="仿宋" w:cs="Arial" w:hint="eastAsia"/>
                <w:kern w:val="0"/>
                <w:sz w:val="24"/>
                <w:szCs w:val="24"/>
              </w:rPr>
              <w:t>、完整；</w:t>
            </w:r>
          </w:p>
          <w:p w14:paraId="7513E16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3.相关管理制度是否得到有效执行。</w:t>
            </w:r>
          </w:p>
        </w:tc>
        <w:tc>
          <w:tcPr>
            <w:tcW w:w="3780" w:type="dxa"/>
            <w:tcBorders>
              <w:top w:val="single" w:sz="4" w:space="0" w:color="000000"/>
              <w:left w:val="single" w:sz="4" w:space="0" w:color="auto"/>
              <w:bottom w:val="single" w:sz="4" w:space="0" w:color="000000"/>
              <w:right w:val="single" w:sz="4" w:space="0" w:color="auto"/>
            </w:tcBorders>
            <w:vAlign w:val="center"/>
          </w:tcPr>
          <w:p w14:paraId="16BA1D62"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2分</w:t>
            </w:r>
            <w:r>
              <w:rPr>
                <w:rFonts w:ascii="仿宋" w:eastAsia="仿宋" w:hAnsi="仿宋" w:cs="Arial"/>
                <w:kern w:val="0"/>
                <w:sz w:val="24"/>
                <w:szCs w:val="24"/>
              </w:rPr>
              <w:t>）；</w:t>
            </w:r>
          </w:p>
          <w:p w14:paraId="7D05F5A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1分</w:t>
            </w:r>
            <w:r>
              <w:rPr>
                <w:rFonts w:ascii="仿宋" w:eastAsia="仿宋" w:hAnsi="仿宋" w:cs="Arial"/>
                <w:kern w:val="0"/>
                <w:sz w:val="24"/>
                <w:szCs w:val="24"/>
              </w:rPr>
              <w:t>）</w:t>
            </w:r>
          </w:p>
          <w:p w14:paraId="68AE7C62"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符合其中一项及以下（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08E69EBC" w14:textId="77777777" w:rsidR="00752F6F" w:rsidRDefault="00000000">
            <w:pPr>
              <w:widowControl/>
              <w:spacing w:line="240" w:lineRule="exact"/>
              <w:jc w:val="center"/>
              <w:rPr>
                <w:rFonts w:ascii="宋体" w:eastAsia="仿宋" w:hAnsi="宋体" w:cs="Arial" w:hint="eastAsia"/>
                <w:kern w:val="0"/>
                <w:sz w:val="20"/>
                <w:szCs w:val="24"/>
              </w:rPr>
            </w:pPr>
            <w:r>
              <w:rPr>
                <w:rFonts w:ascii="宋体" w:eastAsia="仿宋" w:hAnsi="宋体" w:cs="Arial" w:hint="eastAsia"/>
                <w:kern w:val="0"/>
                <w:sz w:val="20"/>
                <w:szCs w:val="24"/>
              </w:rPr>
              <w:t>2</w:t>
            </w:r>
          </w:p>
        </w:tc>
      </w:tr>
      <w:tr w:rsidR="00752F6F" w14:paraId="21DBA1AC" w14:textId="77777777">
        <w:trPr>
          <w:trHeight w:val="2479"/>
          <w:jc w:val="center"/>
        </w:trPr>
        <w:tc>
          <w:tcPr>
            <w:tcW w:w="733" w:type="dxa"/>
            <w:vMerge/>
            <w:tcBorders>
              <w:left w:val="single" w:sz="4" w:space="0" w:color="000000"/>
              <w:right w:val="single" w:sz="4" w:space="0" w:color="000000"/>
            </w:tcBorders>
            <w:vAlign w:val="center"/>
          </w:tcPr>
          <w:p w14:paraId="2D9E9A0A"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388847F3" w14:textId="77777777" w:rsidR="00752F6F" w:rsidRDefault="00752F6F">
            <w:pPr>
              <w:widowControl/>
              <w:spacing w:line="68" w:lineRule="atLeast"/>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5F3D18B5"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资金使用合</w:t>
            </w:r>
            <w:proofErr w:type="gramStart"/>
            <w:r>
              <w:rPr>
                <w:rFonts w:ascii="仿宋" w:eastAsia="仿宋" w:hAnsi="仿宋" w:cs="Arial"/>
                <w:kern w:val="0"/>
                <w:sz w:val="24"/>
                <w:szCs w:val="24"/>
              </w:rPr>
              <w:t>规</w:t>
            </w:r>
            <w:proofErr w:type="gramEnd"/>
            <w:r>
              <w:rPr>
                <w:rFonts w:ascii="仿宋" w:eastAsia="仿宋" w:hAnsi="仿宋" w:cs="Arial"/>
                <w:kern w:val="0"/>
                <w:sz w:val="24"/>
                <w:szCs w:val="24"/>
              </w:rPr>
              <w:t>性</w:t>
            </w:r>
          </w:p>
          <w:p w14:paraId="45E9B30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9分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3185836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部门使用预算资金是否符合相关的预算财务管理制度的规定，反映和评价部门预算资金的规范运行情况。</w:t>
            </w:r>
          </w:p>
          <w:p w14:paraId="6A10112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056E676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符合国家财经法规和财务管理制度规定以及有关部门资金管理办法的规定；</w:t>
            </w:r>
          </w:p>
          <w:p w14:paraId="77826FC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资金的拨付有完整的审批过程和手续；</w:t>
            </w:r>
          </w:p>
          <w:p w14:paraId="6207F5F2"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3.</w:t>
            </w:r>
            <w:r>
              <w:rPr>
                <w:rFonts w:ascii="仿宋" w:eastAsia="仿宋" w:hAnsi="仿宋" w:cs="Arial"/>
                <w:kern w:val="0"/>
                <w:sz w:val="24"/>
                <w:szCs w:val="24"/>
              </w:rPr>
              <w:t>项目的重大开支经过评估论证；</w:t>
            </w:r>
          </w:p>
          <w:p w14:paraId="6673231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4.</w:t>
            </w:r>
            <w:r>
              <w:rPr>
                <w:rFonts w:ascii="仿宋" w:eastAsia="仿宋" w:hAnsi="仿宋" w:cs="Arial"/>
                <w:kern w:val="0"/>
                <w:sz w:val="24"/>
                <w:szCs w:val="24"/>
              </w:rPr>
              <w:t>符合部门预算批复的用途；</w:t>
            </w:r>
          </w:p>
          <w:p w14:paraId="6A165C48"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5.</w:t>
            </w:r>
            <w:r>
              <w:rPr>
                <w:rFonts w:ascii="仿宋" w:eastAsia="仿宋" w:hAnsi="仿宋" w:cs="Arial"/>
                <w:kern w:val="0"/>
                <w:sz w:val="24"/>
                <w:szCs w:val="24"/>
              </w:rPr>
              <w:t>不存在截留情况；</w:t>
            </w:r>
            <w:r>
              <w:rPr>
                <w:rFonts w:ascii="仿宋" w:eastAsia="仿宋" w:hAnsi="仿宋" w:cs="Arial" w:hint="eastAsia"/>
                <w:kern w:val="0"/>
                <w:sz w:val="24"/>
                <w:szCs w:val="24"/>
              </w:rPr>
              <w:t>6.</w:t>
            </w:r>
            <w:r>
              <w:rPr>
                <w:rFonts w:ascii="仿宋" w:eastAsia="仿宋" w:hAnsi="仿宋" w:cs="Arial"/>
                <w:kern w:val="0"/>
                <w:sz w:val="24"/>
                <w:szCs w:val="24"/>
              </w:rPr>
              <w:t>不存在挤占情况；</w:t>
            </w:r>
          </w:p>
          <w:p w14:paraId="76DF2D1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7.</w:t>
            </w:r>
            <w:r>
              <w:rPr>
                <w:rFonts w:ascii="仿宋" w:eastAsia="仿宋" w:hAnsi="仿宋" w:cs="Arial"/>
                <w:kern w:val="0"/>
                <w:sz w:val="24"/>
                <w:szCs w:val="24"/>
              </w:rPr>
              <w:t>不存在挪用情况；</w:t>
            </w:r>
            <w:r>
              <w:rPr>
                <w:rFonts w:ascii="仿宋" w:eastAsia="仿宋" w:hAnsi="仿宋" w:cs="Arial" w:hint="eastAsia"/>
                <w:kern w:val="0"/>
                <w:sz w:val="24"/>
                <w:szCs w:val="24"/>
              </w:rPr>
              <w:t>8.</w:t>
            </w:r>
            <w:r>
              <w:rPr>
                <w:rFonts w:ascii="仿宋" w:eastAsia="仿宋" w:hAnsi="仿宋" w:cs="Arial"/>
                <w:kern w:val="0"/>
                <w:sz w:val="24"/>
                <w:szCs w:val="24"/>
              </w:rPr>
              <w:t>不存在虚列支出情况。</w:t>
            </w:r>
          </w:p>
        </w:tc>
        <w:tc>
          <w:tcPr>
            <w:tcW w:w="3780" w:type="dxa"/>
            <w:tcBorders>
              <w:top w:val="single" w:sz="4" w:space="0" w:color="000000"/>
              <w:left w:val="single" w:sz="4" w:space="0" w:color="auto"/>
              <w:bottom w:val="single" w:sz="4" w:space="0" w:color="000000"/>
              <w:right w:val="single" w:sz="4" w:space="0" w:color="auto"/>
            </w:tcBorders>
            <w:vAlign w:val="center"/>
          </w:tcPr>
          <w:p w14:paraId="6AD0C921"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9分</w:t>
            </w:r>
            <w:r>
              <w:rPr>
                <w:rFonts w:ascii="仿宋" w:eastAsia="仿宋" w:hAnsi="仿宋" w:cs="Arial"/>
                <w:kern w:val="0"/>
                <w:sz w:val="24"/>
                <w:szCs w:val="24"/>
              </w:rPr>
              <w:t>）；</w:t>
            </w:r>
          </w:p>
          <w:p w14:paraId="66C0DCD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符合其中七项（</w:t>
            </w:r>
            <w:r>
              <w:rPr>
                <w:rFonts w:ascii="仿宋" w:eastAsia="仿宋" w:hAnsi="仿宋" w:cs="Arial" w:hint="eastAsia"/>
                <w:kern w:val="0"/>
                <w:sz w:val="24"/>
                <w:szCs w:val="24"/>
              </w:rPr>
              <w:t>8分</w:t>
            </w:r>
            <w:r>
              <w:rPr>
                <w:rFonts w:ascii="仿宋" w:eastAsia="仿宋" w:hAnsi="仿宋" w:cs="Arial"/>
                <w:kern w:val="0"/>
                <w:sz w:val="24"/>
                <w:szCs w:val="24"/>
              </w:rPr>
              <w:t>）；</w:t>
            </w:r>
          </w:p>
          <w:p w14:paraId="0FE4121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符合其中六项（</w:t>
            </w:r>
            <w:r>
              <w:rPr>
                <w:rFonts w:ascii="仿宋" w:eastAsia="仿宋" w:hAnsi="仿宋" w:cs="Arial" w:hint="eastAsia"/>
                <w:kern w:val="0"/>
                <w:sz w:val="24"/>
                <w:szCs w:val="24"/>
              </w:rPr>
              <w:t>5分</w:t>
            </w:r>
            <w:r>
              <w:rPr>
                <w:rFonts w:ascii="仿宋" w:eastAsia="仿宋" w:hAnsi="仿宋" w:cs="Arial"/>
                <w:kern w:val="0"/>
                <w:sz w:val="24"/>
                <w:szCs w:val="24"/>
              </w:rPr>
              <w:t>）；</w:t>
            </w:r>
          </w:p>
          <w:p w14:paraId="3B9615B4"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符合其中五项（</w:t>
            </w:r>
            <w:r>
              <w:rPr>
                <w:rFonts w:ascii="仿宋" w:eastAsia="仿宋" w:hAnsi="仿宋" w:cs="Arial" w:hint="eastAsia"/>
                <w:kern w:val="0"/>
                <w:sz w:val="24"/>
                <w:szCs w:val="24"/>
              </w:rPr>
              <w:t>3分</w:t>
            </w:r>
            <w:r>
              <w:rPr>
                <w:rFonts w:ascii="仿宋" w:eastAsia="仿宋" w:hAnsi="仿宋" w:cs="Arial"/>
                <w:kern w:val="0"/>
                <w:sz w:val="24"/>
                <w:szCs w:val="24"/>
              </w:rPr>
              <w:t>）；</w:t>
            </w:r>
          </w:p>
          <w:p w14:paraId="07CB7A1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符合其中四项及以下（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24170305"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9</w:t>
            </w:r>
          </w:p>
        </w:tc>
      </w:tr>
      <w:tr w:rsidR="00752F6F" w14:paraId="23AC699F" w14:textId="77777777">
        <w:trPr>
          <w:trHeight w:val="2163"/>
          <w:jc w:val="center"/>
        </w:trPr>
        <w:tc>
          <w:tcPr>
            <w:tcW w:w="733" w:type="dxa"/>
            <w:vMerge/>
            <w:tcBorders>
              <w:left w:val="single" w:sz="4" w:space="0" w:color="000000"/>
              <w:right w:val="single" w:sz="4" w:space="0" w:color="000000"/>
            </w:tcBorders>
            <w:vAlign w:val="center"/>
          </w:tcPr>
          <w:p w14:paraId="01D60893"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0B138EA7"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08544656"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预决算信息公开性（</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241AF50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部门是否按照政府信息公开有关规定公开相关预决算信息，用以反映和评价部门预决算管理的公开透明情况。</w:t>
            </w:r>
          </w:p>
          <w:p w14:paraId="3937B79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预决算信息是指与部门预算、执行、决算、监督、绩效等管理相关的信息。</w:t>
            </w:r>
          </w:p>
          <w:p w14:paraId="2989D8F8"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28556AC7"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公开预决算信息；</w:t>
            </w:r>
          </w:p>
          <w:p w14:paraId="6FEE0F1C"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按规定内容公开预决算信息；</w:t>
            </w:r>
          </w:p>
          <w:p w14:paraId="1AC69591"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3.</w:t>
            </w:r>
            <w:r>
              <w:rPr>
                <w:rFonts w:ascii="仿宋" w:eastAsia="仿宋" w:hAnsi="仿宋" w:cs="Arial"/>
                <w:kern w:val="0"/>
                <w:sz w:val="24"/>
                <w:szCs w:val="24"/>
              </w:rPr>
              <w:t>按规定时限公开预决算信息。</w:t>
            </w:r>
          </w:p>
        </w:tc>
        <w:tc>
          <w:tcPr>
            <w:tcW w:w="3780" w:type="dxa"/>
            <w:tcBorders>
              <w:top w:val="single" w:sz="4" w:space="0" w:color="000000"/>
              <w:left w:val="single" w:sz="4" w:space="0" w:color="auto"/>
              <w:bottom w:val="single" w:sz="4" w:space="0" w:color="000000"/>
              <w:right w:val="single" w:sz="4" w:space="0" w:color="auto"/>
            </w:tcBorders>
            <w:vAlign w:val="center"/>
          </w:tcPr>
          <w:p w14:paraId="4F64A0D5"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3分</w:t>
            </w:r>
            <w:r>
              <w:rPr>
                <w:rFonts w:ascii="仿宋" w:eastAsia="仿宋" w:hAnsi="仿宋" w:cs="Arial"/>
                <w:kern w:val="0"/>
                <w:sz w:val="24"/>
                <w:szCs w:val="24"/>
              </w:rPr>
              <w:t>）；</w:t>
            </w:r>
          </w:p>
          <w:p w14:paraId="627AFE51"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2分</w:t>
            </w:r>
            <w:r>
              <w:rPr>
                <w:rFonts w:ascii="仿宋" w:eastAsia="仿宋" w:hAnsi="仿宋" w:cs="Arial"/>
                <w:kern w:val="0"/>
                <w:sz w:val="24"/>
                <w:szCs w:val="24"/>
              </w:rPr>
              <w:t>）</w:t>
            </w:r>
          </w:p>
          <w:p w14:paraId="237B5BB2"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符合其中一项及以下（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4E796F37"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317AE21B" w14:textId="77777777">
        <w:trPr>
          <w:trHeight w:val="1864"/>
          <w:jc w:val="center"/>
        </w:trPr>
        <w:tc>
          <w:tcPr>
            <w:tcW w:w="733" w:type="dxa"/>
            <w:vMerge/>
            <w:tcBorders>
              <w:left w:val="single" w:sz="4" w:space="0" w:color="000000"/>
              <w:right w:val="single" w:sz="4" w:space="0" w:color="000000"/>
            </w:tcBorders>
            <w:vAlign w:val="center"/>
          </w:tcPr>
          <w:p w14:paraId="285CCE08"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bottom w:val="single" w:sz="4" w:space="0" w:color="000000"/>
              <w:right w:val="single" w:sz="4" w:space="0" w:color="000000"/>
            </w:tcBorders>
            <w:vAlign w:val="center"/>
          </w:tcPr>
          <w:p w14:paraId="0B58D782"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6A505E75" w14:textId="77777777" w:rsidR="00752F6F" w:rsidRDefault="00000000">
            <w:pPr>
              <w:widowControl/>
              <w:spacing w:line="68" w:lineRule="atLeast"/>
              <w:jc w:val="left"/>
              <w:rPr>
                <w:rFonts w:ascii="仿宋" w:eastAsia="仿宋" w:hAnsi="仿宋" w:cs="Arial" w:hint="eastAsia"/>
                <w:color w:val="000000"/>
                <w:kern w:val="0"/>
                <w:sz w:val="24"/>
                <w:szCs w:val="24"/>
              </w:rPr>
            </w:pPr>
            <w:r>
              <w:rPr>
                <w:rFonts w:ascii="仿宋" w:eastAsia="仿宋" w:hAnsi="仿宋" w:cs="Arial"/>
                <w:color w:val="000000"/>
                <w:kern w:val="0"/>
                <w:sz w:val="24"/>
                <w:szCs w:val="24"/>
              </w:rPr>
              <w:t>基础信息完善性</w:t>
            </w:r>
          </w:p>
          <w:p w14:paraId="28448C3E"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4分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68C4E2E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部门基础信息是否完善，用以反映和评价基础信息对预算管理工作的支撑情况。</w:t>
            </w:r>
          </w:p>
          <w:p w14:paraId="64421448"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5610EFD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基本财务管理制度健全；</w:t>
            </w:r>
          </w:p>
          <w:p w14:paraId="62CEC5B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基础数据信息和会计信息资料真实；</w:t>
            </w:r>
          </w:p>
          <w:p w14:paraId="3184659C"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3.</w:t>
            </w:r>
            <w:r>
              <w:rPr>
                <w:rFonts w:ascii="仿宋" w:eastAsia="仿宋" w:hAnsi="仿宋" w:cs="Arial"/>
                <w:kern w:val="0"/>
                <w:sz w:val="24"/>
                <w:szCs w:val="24"/>
              </w:rPr>
              <w:t>基础数据信息和会计信息资料完整；</w:t>
            </w:r>
          </w:p>
          <w:p w14:paraId="3F3AE0DF"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4.</w:t>
            </w:r>
            <w:r>
              <w:rPr>
                <w:rFonts w:ascii="仿宋" w:eastAsia="仿宋" w:hAnsi="仿宋" w:cs="Arial"/>
                <w:kern w:val="0"/>
                <w:sz w:val="24"/>
                <w:szCs w:val="24"/>
              </w:rPr>
              <w:t>基础数据信息和会计信息资料准确。</w:t>
            </w:r>
          </w:p>
        </w:tc>
        <w:tc>
          <w:tcPr>
            <w:tcW w:w="3780" w:type="dxa"/>
            <w:tcBorders>
              <w:top w:val="single" w:sz="4" w:space="0" w:color="000000"/>
              <w:left w:val="single" w:sz="4" w:space="0" w:color="auto"/>
              <w:bottom w:val="single" w:sz="4" w:space="0" w:color="000000"/>
              <w:right w:val="single" w:sz="4" w:space="0" w:color="auto"/>
            </w:tcBorders>
            <w:vAlign w:val="center"/>
          </w:tcPr>
          <w:p w14:paraId="50D1A4A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符合全部四项（</w:t>
            </w:r>
            <w:r>
              <w:rPr>
                <w:rFonts w:ascii="仿宋" w:eastAsia="仿宋" w:hAnsi="仿宋" w:cs="Arial" w:hint="eastAsia"/>
                <w:kern w:val="0"/>
                <w:sz w:val="24"/>
                <w:szCs w:val="24"/>
              </w:rPr>
              <w:t>4分</w:t>
            </w:r>
            <w:r>
              <w:rPr>
                <w:rFonts w:ascii="仿宋" w:eastAsia="仿宋" w:hAnsi="仿宋" w:cs="Arial"/>
                <w:kern w:val="0"/>
                <w:sz w:val="24"/>
                <w:szCs w:val="24"/>
              </w:rPr>
              <w:t>）；</w:t>
            </w:r>
          </w:p>
          <w:p w14:paraId="15A57142"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符合其中三项（</w:t>
            </w:r>
            <w:r>
              <w:rPr>
                <w:rFonts w:ascii="仿宋" w:eastAsia="仿宋" w:hAnsi="仿宋" w:cs="Arial" w:hint="eastAsia"/>
                <w:kern w:val="0"/>
                <w:sz w:val="24"/>
                <w:szCs w:val="24"/>
              </w:rPr>
              <w:t>2分</w:t>
            </w:r>
            <w:r>
              <w:rPr>
                <w:rFonts w:ascii="仿宋" w:eastAsia="仿宋" w:hAnsi="仿宋" w:cs="Arial"/>
                <w:kern w:val="0"/>
                <w:sz w:val="24"/>
                <w:szCs w:val="24"/>
              </w:rPr>
              <w:t>）；</w:t>
            </w:r>
          </w:p>
          <w:p w14:paraId="06F6B05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1分</w:t>
            </w:r>
            <w:r>
              <w:rPr>
                <w:rFonts w:ascii="仿宋" w:eastAsia="仿宋" w:hAnsi="仿宋" w:cs="Arial"/>
                <w:kern w:val="0"/>
                <w:sz w:val="24"/>
                <w:szCs w:val="24"/>
              </w:rPr>
              <w:t>）；</w:t>
            </w:r>
          </w:p>
          <w:p w14:paraId="40D8D340"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符合其中一项及以下（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592D1491"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4</w:t>
            </w:r>
          </w:p>
        </w:tc>
      </w:tr>
      <w:tr w:rsidR="00752F6F" w14:paraId="4EFC8329" w14:textId="77777777">
        <w:trPr>
          <w:trHeight w:val="1860"/>
          <w:jc w:val="center"/>
        </w:trPr>
        <w:tc>
          <w:tcPr>
            <w:tcW w:w="733" w:type="dxa"/>
            <w:vMerge/>
            <w:tcBorders>
              <w:left w:val="single" w:sz="4" w:space="0" w:color="000000"/>
              <w:right w:val="single" w:sz="4" w:space="0" w:color="000000"/>
            </w:tcBorders>
            <w:vAlign w:val="center"/>
          </w:tcPr>
          <w:p w14:paraId="52410112" w14:textId="77777777" w:rsidR="00752F6F" w:rsidRDefault="00752F6F">
            <w:pPr>
              <w:widowControl/>
              <w:jc w:val="left"/>
              <w:rPr>
                <w:rFonts w:ascii="仿宋" w:eastAsia="仿宋" w:hAnsi="仿宋" w:cs="宋体" w:hint="eastAsia"/>
                <w:kern w:val="0"/>
                <w:sz w:val="24"/>
                <w:szCs w:val="24"/>
              </w:rPr>
            </w:pPr>
          </w:p>
        </w:tc>
        <w:tc>
          <w:tcPr>
            <w:tcW w:w="803" w:type="dxa"/>
            <w:vMerge w:val="restart"/>
            <w:tcBorders>
              <w:left w:val="single" w:sz="4" w:space="0" w:color="000000"/>
              <w:right w:val="single" w:sz="4" w:space="0" w:color="000000"/>
            </w:tcBorders>
            <w:vAlign w:val="center"/>
          </w:tcPr>
          <w:p w14:paraId="22D2F285" w14:textId="77777777" w:rsidR="00752F6F" w:rsidRDefault="00000000">
            <w:pPr>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资产管理（8</w:t>
            </w:r>
            <w:r>
              <w:rPr>
                <w:rFonts w:ascii="仿宋" w:eastAsia="仿宋" w:hAnsi="仿宋" w:cs="Arial" w:hint="eastAsia"/>
                <w:kern w:val="0"/>
                <w:sz w:val="24"/>
                <w:szCs w:val="24"/>
              </w:rPr>
              <w:t>分</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000000"/>
              <w:right w:val="single" w:sz="4" w:space="0" w:color="auto"/>
            </w:tcBorders>
            <w:vAlign w:val="center"/>
          </w:tcPr>
          <w:p w14:paraId="11AEB023" w14:textId="77777777" w:rsidR="00752F6F" w:rsidRDefault="00000000">
            <w:pPr>
              <w:widowControl/>
              <w:spacing w:line="68" w:lineRule="atLeast"/>
              <w:jc w:val="left"/>
              <w:rPr>
                <w:rFonts w:ascii="仿宋" w:eastAsia="仿宋" w:hAnsi="仿宋" w:cs="Arial" w:hint="eastAsia"/>
                <w:color w:val="000000"/>
                <w:kern w:val="0"/>
                <w:sz w:val="24"/>
                <w:szCs w:val="24"/>
              </w:rPr>
            </w:pPr>
            <w:r>
              <w:rPr>
                <w:rFonts w:ascii="仿宋" w:eastAsia="仿宋" w:hAnsi="仿宋" w:cs="Arial" w:hint="eastAsia"/>
                <w:color w:val="000000"/>
                <w:kern w:val="0"/>
                <w:sz w:val="24"/>
                <w:szCs w:val="24"/>
              </w:rPr>
              <w:t>管理制度健全性</w:t>
            </w:r>
          </w:p>
          <w:p w14:paraId="75A7DDB1" w14:textId="77777777" w:rsidR="00752F6F" w:rsidRDefault="00000000">
            <w:pPr>
              <w:widowControl/>
              <w:spacing w:line="68" w:lineRule="atLeast"/>
              <w:jc w:val="left"/>
              <w:rPr>
                <w:rFonts w:ascii="仿宋" w:eastAsia="仿宋" w:hAnsi="仿宋" w:cs="Arial" w:hint="eastAsia"/>
                <w:color w:val="000000"/>
                <w:kern w:val="0"/>
                <w:sz w:val="24"/>
                <w:szCs w:val="24"/>
              </w:rPr>
            </w:pPr>
            <w:r>
              <w:rPr>
                <w:rFonts w:ascii="仿宋" w:eastAsia="仿宋" w:hAnsi="仿宋" w:cs="Arial" w:hint="eastAsia"/>
                <w:color w:val="000000"/>
                <w:kern w:val="0"/>
                <w:sz w:val="24"/>
                <w:szCs w:val="24"/>
              </w:rPr>
              <w:t>（2分）</w:t>
            </w:r>
          </w:p>
        </w:tc>
        <w:tc>
          <w:tcPr>
            <w:tcW w:w="6554" w:type="dxa"/>
            <w:tcBorders>
              <w:top w:val="single" w:sz="4" w:space="0" w:color="000000"/>
              <w:left w:val="single" w:sz="4" w:space="0" w:color="auto"/>
              <w:bottom w:val="single" w:sz="4" w:space="0" w:color="000000"/>
              <w:right w:val="single" w:sz="4" w:space="0" w:color="auto"/>
            </w:tcBorders>
            <w:vAlign w:val="center"/>
          </w:tcPr>
          <w:p w14:paraId="43F0CB3B"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部门为加强资产管理、规范资产管理行为而制定的管理制度是否健全完整，用以反映和考核部门资产管理制度对完成主要职责或促进社会发展的保障情况。</w:t>
            </w:r>
          </w:p>
          <w:p w14:paraId="07B1810F"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3FB0E222"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1.是否已制定或具有资产管理制度；</w:t>
            </w:r>
          </w:p>
          <w:p w14:paraId="7FE00957"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2.相关资金管理制度是否合法、合</w:t>
            </w:r>
            <w:proofErr w:type="gramStart"/>
            <w:r>
              <w:rPr>
                <w:rFonts w:ascii="仿宋" w:eastAsia="仿宋" w:hAnsi="仿宋" w:cs="Arial" w:hint="eastAsia"/>
                <w:kern w:val="0"/>
                <w:sz w:val="24"/>
                <w:szCs w:val="24"/>
              </w:rPr>
              <w:t>规</w:t>
            </w:r>
            <w:proofErr w:type="gramEnd"/>
            <w:r>
              <w:rPr>
                <w:rFonts w:ascii="仿宋" w:eastAsia="仿宋" w:hAnsi="仿宋" w:cs="Arial" w:hint="eastAsia"/>
                <w:kern w:val="0"/>
                <w:sz w:val="24"/>
                <w:szCs w:val="24"/>
              </w:rPr>
              <w:t>、完整；</w:t>
            </w:r>
          </w:p>
          <w:p w14:paraId="50D34A63"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3.相关资产管理制度是否得到有效执行。</w:t>
            </w:r>
          </w:p>
        </w:tc>
        <w:tc>
          <w:tcPr>
            <w:tcW w:w="3780" w:type="dxa"/>
            <w:tcBorders>
              <w:top w:val="single" w:sz="4" w:space="0" w:color="000000"/>
              <w:left w:val="single" w:sz="4" w:space="0" w:color="auto"/>
              <w:bottom w:val="single" w:sz="4" w:space="0" w:color="000000"/>
              <w:right w:val="single" w:sz="4" w:space="0" w:color="auto"/>
            </w:tcBorders>
            <w:vAlign w:val="center"/>
          </w:tcPr>
          <w:p w14:paraId="54D99480"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2分</w:t>
            </w:r>
            <w:r>
              <w:rPr>
                <w:rFonts w:ascii="仿宋" w:eastAsia="仿宋" w:hAnsi="仿宋" w:cs="Arial"/>
                <w:kern w:val="0"/>
                <w:sz w:val="24"/>
                <w:szCs w:val="24"/>
              </w:rPr>
              <w:t>）；</w:t>
            </w:r>
          </w:p>
          <w:p w14:paraId="3A22D8D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1分</w:t>
            </w:r>
            <w:r>
              <w:rPr>
                <w:rFonts w:ascii="仿宋" w:eastAsia="仿宋" w:hAnsi="仿宋" w:cs="Arial"/>
                <w:kern w:val="0"/>
                <w:sz w:val="24"/>
                <w:szCs w:val="24"/>
              </w:rPr>
              <w:t>）</w:t>
            </w:r>
          </w:p>
          <w:p w14:paraId="65E601AE"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kern w:val="0"/>
                <w:sz w:val="24"/>
                <w:szCs w:val="24"/>
              </w:rPr>
              <w:t>符合其中一项及以下（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43DB4BEC" w14:textId="77777777" w:rsidR="00752F6F" w:rsidRDefault="00000000">
            <w:pPr>
              <w:widowControl/>
              <w:spacing w:line="68" w:lineRule="atLeast"/>
              <w:jc w:val="center"/>
              <w:rPr>
                <w:rFonts w:ascii="宋体" w:eastAsia="仿宋" w:hAnsi="宋体" w:cs="Arial" w:hint="eastAsia"/>
                <w:kern w:val="0"/>
                <w:sz w:val="20"/>
                <w:szCs w:val="24"/>
              </w:rPr>
            </w:pPr>
            <w:r>
              <w:rPr>
                <w:rFonts w:ascii="宋体" w:eastAsia="仿宋" w:hAnsi="宋体" w:cs="Arial" w:hint="eastAsia"/>
                <w:kern w:val="0"/>
                <w:sz w:val="20"/>
                <w:szCs w:val="24"/>
              </w:rPr>
              <w:t>2</w:t>
            </w:r>
          </w:p>
        </w:tc>
      </w:tr>
      <w:tr w:rsidR="00752F6F" w14:paraId="0EC7277C" w14:textId="77777777">
        <w:trPr>
          <w:trHeight w:val="1701"/>
          <w:jc w:val="center"/>
        </w:trPr>
        <w:tc>
          <w:tcPr>
            <w:tcW w:w="733" w:type="dxa"/>
            <w:vMerge/>
            <w:tcBorders>
              <w:left w:val="single" w:sz="4" w:space="0" w:color="000000"/>
              <w:right w:val="single" w:sz="4" w:space="0" w:color="000000"/>
            </w:tcBorders>
            <w:vAlign w:val="center"/>
          </w:tcPr>
          <w:p w14:paraId="4840A159"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727AAAEC" w14:textId="77777777" w:rsidR="00752F6F" w:rsidRDefault="00752F6F">
            <w:pPr>
              <w:widowControl/>
              <w:spacing w:line="68" w:lineRule="atLeast"/>
              <w:jc w:val="left"/>
              <w:rPr>
                <w:rFonts w:ascii="仿宋" w:eastAsia="仿宋" w:hAnsi="仿宋" w:cs="宋体" w:hint="eastAsia"/>
                <w:kern w:val="0"/>
                <w:sz w:val="24"/>
                <w:szCs w:val="24"/>
              </w:rPr>
            </w:pPr>
          </w:p>
        </w:tc>
        <w:tc>
          <w:tcPr>
            <w:tcW w:w="1182" w:type="dxa"/>
            <w:tcBorders>
              <w:top w:val="single" w:sz="4" w:space="0" w:color="auto"/>
              <w:left w:val="single" w:sz="4" w:space="0" w:color="000000"/>
              <w:bottom w:val="single" w:sz="4" w:space="0" w:color="000000"/>
              <w:right w:val="single" w:sz="4" w:space="0" w:color="auto"/>
            </w:tcBorders>
            <w:vAlign w:val="center"/>
          </w:tcPr>
          <w:p w14:paraId="66FC0689"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资产管理完</w:t>
            </w:r>
            <w:r>
              <w:rPr>
                <w:rFonts w:ascii="仿宋" w:eastAsia="仿宋" w:hAnsi="仿宋" w:cs="Arial" w:hint="eastAsia"/>
                <w:kern w:val="0"/>
                <w:sz w:val="24"/>
                <w:szCs w:val="24"/>
              </w:rPr>
              <w:t>全</w:t>
            </w:r>
            <w:r>
              <w:rPr>
                <w:rFonts w:ascii="仿宋" w:eastAsia="仿宋" w:hAnsi="仿宋" w:cs="Arial"/>
                <w:kern w:val="0"/>
                <w:sz w:val="24"/>
                <w:szCs w:val="24"/>
              </w:rPr>
              <w:t>性</w:t>
            </w:r>
          </w:p>
          <w:p w14:paraId="6D9397B3"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auto"/>
              <w:left w:val="single" w:sz="4" w:space="0" w:color="auto"/>
              <w:bottom w:val="single" w:sz="4" w:space="0" w:color="000000"/>
              <w:right w:val="single" w:sz="4" w:space="0" w:color="auto"/>
            </w:tcBorders>
            <w:vAlign w:val="center"/>
          </w:tcPr>
          <w:p w14:paraId="522F976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部门的资产是否保存完整、使用合</w:t>
            </w:r>
            <w:proofErr w:type="gramStart"/>
            <w:r>
              <w:rPr>
                <w:rFonts w:ascii="仿宋" w:eastAsia="仿宋" w:hAnsi="仿宋" w:cs="Arial"/>
                <w:kern w:val="0"/>
                <w:sz w:val="24"/>
                <w:szCs w:val="24"/>
              </w:rPr>
              <w:t>规</w:t>
            </w:r>
            <w:proofErr w:type="gramEnd"/>
            <w:r>
              <w:rPr>
                <w:rFonts w:ascii="仿宋" w:eastAsia="仿宋" w:hAnsi="仿宋" w:cs="Arial"/>
                <w:kern w:val="0"/>
                <w:sz w:val="24"/>
                <w:szCs w:val="24"/>
              </w:rPr>
              <w:t>、收入及时足额上缴，用以反映和评价部门资产运行情况。</w:t>
            </w:r>
          </w:p>
          <w:p w14:paraId="06CF26B4"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评价要点：</w:t>
            </w:r>
          </w:p>
          <w:p w14:paraId="540C7F4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1.</w:t>
            </w:r>
            <w:r>
              <w:rPr>
                <w:rFonts w:ascii="仿宋" w:eastAsia="仿宋" w:hAnsi="仿宋" w:cs="Arial"/>
                <w:kern w:val="0"/>
                <w:sz w:val="24"/>
                <w:szCs w:val="24"/>
              </w:rPr>
              <w:t>资产保存完整；</w:t>
            </w:r>
          </w:p>
          <w:p w14:paraId="7E7C00B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hint="eastAsia"/>
                <w:kern w:val="0"/>
                <w:sz w:val="24"/>
                <w:szCs w:val="24"/>
              </w:rPr>
              <w:t>2.</w:t>
            </w:r>
            <w:r>
              <w:rPr>
                <w:rFonts w:ascii="仿宋" w:eastAsia="仿宋" w:hAnsi="仿宋" w:cs="Arial"/>
                <w:kern w:val="0"/>
                <w:sz w:val="24"/>
                <w:szCs w:val="24"/>
              </w:rPr>
              <w:t>资产账务管理是否合</w:t>
            </w:r>
            <w:proofErr w:type="gramStart"/>
            <w:r>
              <w:rPr>
                <w:rFonts w:ascii="仿宋" w:eastAsia="仿宋" w:hAnsi="仿宋" w:cs="Arial"/>
                <w:kern w:val="0"/>
                <w:sz w:val="24"/>
                <w:szCs w:val="24"/>
              </w:rPr>
              <w:t>规</w:t>
            </w:r>
            <w:proofErr w:type="gramEnd"/>
            <w:r>
              <w:rPr>
                <w:rFonts w:ascii="仿宋" w:eastAsia="仿宋" w:hAnsi="仿宋" w:cs="Arial"/>
                <w:kern w:val="0"/>
                <w:sz w:val="24"/>
                <w:szCs w:val="24"/>
              </w:rPr>
              <w:t>，帐实相符；</w:t>
            </w:r>
          </w:p>
          <w:p w14:paraId="763352BA"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3.</w:t>
            </w:r>
            <w:r>
              <w:rPr>
                <w:rFonts w:ascii="仿宋" w:eastAsia="仿宋" w:hAnsi="仿宋" w:cs="Arial"/>
                <w:kern w:val="0"/>
                <w:sz w:val="24"/>
                <w:szCs w:val="24"/>
              </w:rPr>
              <w:t>资产有偿使用及处置收入及时足额上缴。</w:t>
            </w:r>
          </w:p>
        </w:tc>
        <w:tc>
          <w:tcPr>
            <w:tcW w:w="3780" w:type="dxa"/>
            <w:tcBorders>
              <w:top w:val="single" w:sz="4" w:space="0" w:color="auto"/>
              <w:left w:val="single" w:sz="4" w:space="0" w:color="auto"/>
              <w:bottom w:val="single" w:sz="4" w:space="0" w:color="000000"/>
              <w:right w:val="single" w:sz="4" w:space="0" w:color="auto"/>
            </w:tcBorders>
            <w:vAlign w:val="center"/>
          </w:tcPr>
          <w:p w14:paraId="29F98DE7"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符合全部三项（</w:t>
            </w:r>
            <w:r>
              <w:rPr>
                <w:rFonts w:ascii="仿宋" w:eastAsia="仿宋" w:hAnsi="仿宋" w:cs="Arial" w:hint="eastAsia"/>
                <w:kern w:val="0"/>
                <w:sz w:val="24"/>
                <w:szCs w:val="24"/>
              </w:rPr>
              <w:t>3分</w:t>
            </w:r>
            <w:r>
              <w:rPr>
                <w:rFonts w:ascii="仿宋" w:eastAsia="仿宋" w:hAnsi="仿宋" w:cs="Arial"/>
                <w:kern w:val="0"/>
                <w:sz w:val="24"/>
                <w:szCs w:val="24"/>
              </w:rPr>
              <w:t>）；</w:t>
            </w:r>
          </w:p>
          <w:p w14:paraId="65C592C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2分</w:t>
            </w:r>
            <w:r>
              <w:rPr>
                <w:rFonts w:ascii="仿宋" w:eastAsia="仿宋" w:hAnsi="仿宋" w:cs="Arial"/>
                <w:kern w:val="0"/>
                <w:sz w:val="24"/>
                <w:szCs w:val="24"/>
              </w:rPr>
              <w:t>）；</w:t>
            </w:r>
          </w:p>
          <w:p w14:paraId="679D07E0"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符合其中一项（</w:t>
            </w:r>
            <w:r>
              <w:rPr>
                <w:rFonts w:ascii="仿宋" w:eastAsia="仿宋" w:hAnsi="仿宋" w:cs="Arial" w:hint="eastAsia"/>
                <w:kern w:val="0"/>
                <w:sz w:val="24"/>
                <w:szCs w:val="24"/>
              </w:rPr>
              <w:t>1分</w:t>
            </w:r>
            <w:r>
              <w:rPr>
                <w:rFonts w:ascii="仿宋" w:eastAsia="仿宋" w:hAnsi="仿宋" w:cs="Arial"/>
                <w:kern w:val="0"/>
                <w:sz w:val="24"/>
                <w:szCs w:val="24"/>
              </w:rPr>
              <w:t>）；</w:t>
            </w:r>
          </w:p>
          <w:p w14:paraId="0E441AEF"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符合零项（</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auto"/>
              <w:left w:val="single" w:sz="4" w:space="0" w:color="auto"/>
              <w:bottom w:val="single" w:sz="4" w:space="0" w:color="000000"/>
              <w:right w:val="single" w:sz="4" w:space="0" w:color="000000"/>
            </w:tcBorders>
            <w:vAlign w:val="center"/>
          </w:tcPr>
          <w:p w14:paraId="65C9EE48"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378633C3" w14:textId="77777777">
        <w:trPr>
          <w:trHeight w:val="1139"/>
          <w:jc w:val="center"/>
        </w:trPr>
        <w:tc>
          <w:tcPr>
            <w:tcW w:w="733" w:type="dxa"/>
            <w:vMerge/>
            <w:tcBorders>
              <w:left w:val="single" w:sz="4" w:space="0" w:color="000000"/>
              <w:right w:val="single" w:sz="4" w:space="0" w:color="000000"/>
            </w:tcBorders>
            <w:vAlign w:val="center"/>
          </w:tcPr>
          <w:p w14:paraId="09428609"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bottom w:val="single" w:sz="4" w:space="0" w:color="000000"/>
              <w:right w:val="single" w:sz="4" w:space="0" w:color="000000"/>
            </w:tcBorders>
            <w:vAlign w:val="center"/>
          </w:tcPr>
          <w:p w14:paraId="581CAD68"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auto"/>
              <w:left w:val="single" w:sz="4" w:space="0" w:color="000000"/>
              <w:bottom w:val="single" w:sz="4" w:space="0" w:color="000000"/>
              <w:right w:val="single" w:sz="4" w:space="0" w:color="auto"/>
            </w:tcBorders>
            <w:vAlign w:val="center"/>
          </w:tcPr>
          <w:p w14:paraId="5F355A14"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固定资产利用率</w:t>
            </w:r>
          </w:p>
          <w:p w14:paraId="1CCD8F4E"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auto"/>
              <w:left w:val="single" w:sz="4" w:space="0" w:color="auto"/>
              <w:bottom w:val="single" w:sz="4" w:space="0" w:color="000000"/>
              <w:right w:val="single" w:sz="4" w:space="0" w:color="auto"/>
            </w:tcBorders>
            <w:vAlign w:val="center"/>
          </w:tcPr>
          <w:p w14:paraId="14FF553E"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部门实际在用固定资产总额与所有固定资产总额的比率，用以反映和评价部门固定资产使用效率。</w:t>
            </w:r>
          </w:p>
          <w:p w14:paraId="2275DDF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固定资产利用率</w:t>
            </w:r>
            <w:r>
              <w:rPr>
                <w:rFonts w:ascii="仿宋" w:eastAsia="仿宋" w:hAnsi="仿宋" w:cs="Arial" w:hint="eastAsia"/>
                <w:kern w:val="0"/>
                <w:sz w:val="24"/>
                <w:szCs w:val="24"/>
              </w:rPr>
              <w:t>=</w:t>
            </w:r>
            <w:r>
              <w:rPr>
                <w:rFonts w:ascii="仿宋" w:eastAsia="仿宋" w:hAnsi="仿宋" w:cs="Arial"/>
                <w:kern w:val="0"/>
                <w:sz w:val="24"/>
                <w:szCs w:val="24"/>
              </w:rPr>
              <w:t>（实际在用固定资产总额</w:t>
            </w:r>
            <w:r>
              <w:rPr>
                <w:rFonts w:ascii="仿宋" w:eastAsia="仿宋" w:hAnsi="仿宋" w:cs="Arial" w:hint="eastAsia"/>
                <w:kern w:val="0"/>
                <w:sz w:val="24"/>
                <w:szCs w:val="24"/>
              </w:rPr>
              <w:t>/</w:t>
            </w:r>
            <w:r>
              <w:rPr>
                <w:rFonts w:ascii="仿宋" w:eastAsia="仿宋" w:hAnsi="仿宋" w:cs="Arial"/>
                <w:kern w:val="0"/>
                <w:sz w:val="24"/>
                <w:szCs w:val="24"/>
              </w:rPr>
              <w:t>所有固定资产总额）×</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auto"/>
              <w:left w:val="single" w:sz="4" w:space="0" w:color="auto"/>
              <w:bottom w:val="single" w:sz="4" w:space="0" w:color="000000"/>
              <w:right w:val="single" w:sz="4" w:space="0" w:color="auto"/>
            </w:tcBorders>
            <w:vAlign w:val="center"/>
          </w:tcPr>
          <w:p w14:paraId="1ED0967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目标值为80%；以3分为上限，采用完成比率法计分：得分=固定资产利用率/80%×100%×3，超出目标值不加分。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14:paraId="4329D968" w14:textId="77777777" w:rsidR="00752F6F" w:rsidRDefault="00000000">
            <w:pPr>
              <w:widowControl/>
              <w:spacing w:line="68" w:lineRule="atLeast"/>
              <w:jc w:val="center"/>
              <w:rPr>
                <w:rFonts w:ascii="仿宋" w:eastAsia="仿宋" w:hAnsi="仿宋" w:cs="宋体" w:hint="eastAsia"/>
                <w:kern w:val="0"/>
                <w:sz w:val="24"/>
                <w:szCs w:val="24"/>
              </w:rPr>
            </w:pPr>
            <w:r>
              <w:rPr>
                <w:rFonts w:ascii="宋体" w:eastAsia="仿宋" w:hAnsi="宋体" w:cs="Arial" w:hint="eastAsia"/>
                <w:kern w:val="0"/>
                <w:sz w:val="20"/>
                <w:szCs w:val="24"/>
              </w:rPr>
              <w:t>3</w:t>
            </w:r>
          </w:p>
        </w:tc>
      </w:tr>
      <w:tr w:rsidR="00752F6F" w14:paraId="4E36AD5F" w14:textId="77777777">
        <w:trPr>
          <w:trHeight w:val="68"/>
          <w:jc w:val="center"/>
        </w:trPr>
        <w:tc>
          <w:tcPr>
            <w:tcW w:w="733" w:type="dxa"/>
            <w:vMerge/>
            <w:tcBorders>
              <w:left w:val="single" w:sz="4" w:space="0" w:color="000000"/>
              <w:bottom w:val="single" w:sz="4" w:space="0" w:color="000000"/>
              <w:right w:val="single" w:sz="4" w:space="0" w:color="000000"/>
            </w:tcBorders>
            <w:vAlign w:val="center"/>
          </w:tcPr>
          <w:p w14:paraId="327C9688" w14:textId="77777777" w:rsidR="00752F6F" w:rsidRDefault="00752F6F">
            <w:pPr>
              <w:widowControl/>
              <w:jc w:val="left"/>
              <w:rPr>
                <w:rFonts w:ascii="仿宋" w:eastAsia="仿宋" w:hAnsi="仿宋" w:cs="宋体" w:hint="eastAsia"/>
                <w:kern w:val="0"/>
                <w:sz w:val="24"/>
                <w:szCs w:val="24"/>
              </w:rPr>
            </w:pPr>
          </w:p>
        </w:tc>
        <w:tc>
          <w:tcPr>
            <w:tcW w:w="803" w:type="dxa"/>
            <w:tcBorders>
              <w:left w:val="single" w:sz="4" w:space="0" w:color="000000"/>
              <w:bottom w:val="single" w:sz="4" w:space="0" w:color="000000"/>
              <w:right w:val="single" w:sz="4" w:space="0" w:color="000000"/>
            </w:tcBorders>
            <w:vAlign w:val="center"/>
          </w:tcPr>
          <w:p w14:paraId="70A7BF50" w14:textId="77777777" w:rsidR="00752F6F" w:rsidRDefault="00000000">
            <w:pPr>
              <w:widowControl/>
              <w:jc w:val="left"/>
              <w:rPr>
                <w:rFonts w:ascii="仿宋" w:eastAsia="仿宋" w:hAnsi="仿宋" w:cs="宋体" w:hint="eastAsia"/>
                <w:kern w:val="0"/>
                <w:sz w:val="24"/>
                <w:szCs w:val="24"/>
              </w:rPr>
            </w:pPr>
            <w:r>
              <w:rPr>
                <w:rFonts w:ascii="仿宋" w:eastAsia="仿宋" w:hAnsi="仿宋" w:cs="宋体" w:hint="eastAsia"/>
                <w:kern w:val="0"/>
                <w:sz w:val="24"/>
                <w:szCs w:val="24"/>
              </w:rPr>
              <w:t>预算绩效监控管理（2分）</w:t>
            </w:r>
          </w:p>
        </w:tc>
        <w:tc>
          <w:tcPr>
            <w:tcW w:w="1182" w:type="dxa"/>
            <w:tcBorders>
              <w:top w:val="single" w:sz="4" w:space="0" w:color="auto"/>
              <w:left w:val="single" w:sz="4" w:space="0" w:color="000000"/>
              <w:bottom w:val="single" w:sz="4" w:space="0" w:color="000000"/>
              <w:right w:val="single" w:sz="4" w:space="0" w:color="auto"/>
            </w:tcBorders>
            <w:vAlign w:val="center"/>
          </w:tcPr>
          <w:p w14:paraId="6E634D15"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监控率</w:t>
            </w:r>
            <w:r>
              <w:rPr>
                <w:rFonts w:ascii="仿宋" w:eastAsia="仿宋" w:hAnsi="仿宋" w:cs="宋体" w:hint="eastAsia"/>
                <w:kern w:val="0"/>
                <w:sz w:val="24"/>
                <w:szCs w:val="24"/>
              </w:rPr>
              <w:t>（2分）</w:t>
            </w:r>
          </w:p>
        </w:tc>
        <w:tc>
          <w:tcPr>
            <w:tcW w:w="6554" w:type="dxa"/>
            <w:tcBorders>
              <w:top w:val="single" w:sz="4" w:space="0" w:color="auto"/>
              <w:left w:val="single" w:sz="4" w:space="0" w:color="auto"/>
              <w:bottom w:val="single" w:sz="4" w:space="0" w:color="000000"/>
              <w:right w:val="single" w:sz="4" w:space="0" w:color="auto"/>
            </w:tcBorders>
            <w:vAlign w:val="center"/>
          </w:tcPr>
          <w:p w14:paraId="7291038E"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部门（单位）纳入绩效监控的项目数量占实际申报绩效目标项目数量的比重，用以反映和考核部门（单位）在项目运行中实施绩效管理的水平和程度。</w:t>
            </w:r>
          </w:p>
          <w:p w14:paraId="40425233"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监控率=实施绩效监控项目数/实际申报绩效目标项目数×100%</w:t>
            </w:r>
          </w:p>
        </w:tc>
        <w:tc>
          <w:tcPr>
            <w:tcW w:w="3780" w:type="dxa"/>
            <w:tcBorders>
              <w:top w:val="single" w:sz="4" w:space="0" w:color="auto"/>
              <w:left w:val="single" w:sz="4" w:space="0" w:color="auto"/>
              <w:bottom w:val="single" w:sz="4" w:space="0" w:color="000000"/>
              <w:right w:val="single" w:sz="4" w:space="0" w:color="auto"/>
            </w:tcBorders>
            <w:vAlign w:val="center"/>
          </w:tcPr>
          <w:p w14:paraId="4B5852DB"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目标值为90%；以2分为上限，采用完成比率法计分：得分=监控率×2，超出目标值不加分。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14:paraId="166F7DB8" w14:textId="77777777" w:rsidR="00752F6F" w:rsidRDefault="00000000">
            <w:pPr>
              <w:widowControl/>
              <w:spacing w:line="68" w:lineRule="atLeast"/>
              <w:jc w:val="center"/>
              <w:rPr>
                <w:rFonts w:ascii="宋体" w:eastAsia="仿宋" w:hAnsi="宋体" w:cs="Arial" w:hint="eastAsia"/>
                <w:kern w:val="0"/>
                <w:sz w:val="20"/>
                <w:szCs w:val="24"/>
              </w:rPr>
            </w:pPr>
            <w:r>
              <w:rPr>
                <w:rFonts w:ascii="宋体" w:eastAsia="仿宋" w:hAnsi="宋体" w:cs="Arial" w:hint="eastAsia"/>
                <w:kern w:val="0"/>
                <w:sz w:val="20"/>
                <w:szCs w:val="24"/>
              </w:rPr>
              <w:t>2</w:t>
            </w:r>
          </w:p>
        </w:tc>
      </w:tr>
      <w:tr w:rsidR="00752F6F" w14:paraId="21A253D7" w14:textId="77777777">
        <w:trPr>
          <w:trHeight w:val="68"/>
          <w:jc w:val="center"/>
        </w:trPr>
        <w:tc>
          <w:tcPr>
            <w:tcW w:w="733" w:type="dxa"/>
            <w:vMerge w:val="restart"/>
            <w:tcBorders>
              <w:top w:val="single" w:sz="4" w:space="0" w:color="000000"/>
              <w:left w:val="single" w:sz="4" w:space="0" w:color="000000"/>
              <w:right w:val="single" w:sz="4" w:space="0" w:color="000000"/>
            </w:tcBorders>
            <w:vAlign w:val="center"/>
          </w:tcPr>
          <w:p w14:paraId="22A5F1D3" w14:textId="77777777" w:rsidR="00752F6F" w:rsidRDefault="00752F6F">
            <w:pPr>
              <w:widowControl/>
              <w:spacing w:line="68" w:lineRule="atLeast"/>
              <w:jc w:val="left"/>
              <w:rPr>
                <w:rFonts w:ascii="仿宋" w:eastAsia="仿宋" w:hAnsi="仿宋" w:cs="Arial" w:hint="eastAsia"/>
                <w:kern w:val="0"/>
                <w:sz w:val="24"/>
                <w:szCs w:val="24"/>
              </w:rPr>
            </w:pPr>
          </w:p>
          <w:p w14:paraId="533AFD19"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产出</w:t>
            </w:r>
            <w:r>
              <w:rPr>
                <w:rFonts w:ascii="仿宋" w:eastAsia="仿宋" w:hAnsi="仿宋" w:cs="Arial" w:hint="eastAsia"/>
                <w:kern w:val="0"/>
                <w:sz w:val="24"/>
                <w:szCs w:val="24"/>
              </w:rPr>
              <w:t>(15分)</w:t>
            </w:r>
          </w:p>
          <w:p w14:paraId="190C92EF" w14:textId="77777777" w:rsidR="00752F6F" w:rsidRDefault="00752F6F">
            <w:pPr>
              <w:widowControl/>
              <w:spacing w:line="68" w:lineRule="atLeast"/>
              <w:jc w:val="left"/>
              <w:rPr>
                <w:rFonts w:ascii="仿宋" w:eastAsia="仿宋" w:hAnsi="仿宋" w:cs="Arial" w:hint="eastAsia"/>
                <w:kern w:val="0"/>
                <w:sz w:val="24"/>
                <w:szCs w:val="24"/>
              </w:rPr>
            </w:pPr>
          </w:p>
          <w:p w14:paraId="126D8F0D" w14:textId="77777777" w:rsidR="00752F6F" w:rsidRDefault="00752F6F">
            <w:pPr>
              <w:widowControl/>
              <w:spacing w:line="68" w:lineRule="atLeast"/>
              <w:jc w:val="left"/>
              <w:rPr>
                <w:rFonts w:ascii="仿宋" w:eastAsia="仿宋" w:hAnsi="仿宋" w:cs="Arial" w:hint="eastAsia"/>
                <w:kern w:val="0"/>
                <w:sz w:val="24"/>
                <w:szCs w:val="24"/>
              </w:rPr>
            </w:pPr>
          </w:p>
          <w:p w14:paraId="1015B05B" w14:textId="77777777" w:rsidR="00752F6F" w:rsidRDefault="00752F6F">
            <w:pPr>
              <w:widowControl/>
              <w:spacing w:line="68" w:lineRule="atLeast"/>
              <w:jc w:val="left"/>
              <w:rPr>
                <w:rFonts w:ascii="仿宋" w:eastAsia="仿宋" w:hAnsi="仿宋" w:cs="Arial" w:hint="eastAsia"/>
                <w:kern w:val="0"/>
                <w:sz w:val="24"/>
                <w:szCs w:val="24"/>
              </w:rPr>
            </w:pPr>
          </w:p>
          <w:p w14:paraId="2B1B433D" w14:textId="77777777" w:rsidR="00752F6F" w:rsidRDefault="00752F6F">
            <w:pPr>
              <w:widowControl/>
              <w:spacing w:line="68" w:lineRule="atLeast"/>
              <w:jc w:val="left"/>
              <w:rPr>
                <w:rFonts w:ascii="仿宋" w:eastAsia="仿宋" w:hAnsi="仿宋" w:cs="Arial" w:hint="eastAsia"/>
                <w:kern w:val="0"/>
                <w:sz w:val="24"/>
                <w:szCs w:val="24"/>
              </w:rPr>
            </w:pPr>
          </w:p>
          <w:p w14:paraId="4FEF4D22" w14:textId="77777777" w:rsidR="00752F6F" w:rsidRDefault="00752F6F">
            <w:pPr>
              <w:widowControl/>
              <w:spacing w:line="68" w:lineRule="atLeast"/>
              <w:jc w:val="left"/>
              <w:rPr>
                <w:rFonts w:ascii="仿宋" w:eastAsia="仿宋" w:hAnsi="仿宋" w:cs="Arial" w:hint="eastAsia"/>
                <w:kern w:val="0"/>
                <w:sz w:val="24"/>
                <w:szCs w:val="24"/>
              </w:rPr>
            </w:pPr>
          </w:p>
          <w:p w14:paraId="2A6EE041" w14:textId="77777777" w:rsidR="00752F6F" w:rsidRDefault="00752F6F">
            <w:pPr>
              <w:widowControl/>
              <w:spacing w:line="68" w:lineRule="atLeast"/>
              <w:jc w:val="left"/>
              <w:rPr>
                <w:rFonts w:ascii="仿宋" w:eastAsia="仿宋" w:hAnsi="仿宋" w:cs="Arial" w:hint="eastAsia"/>
                <w:kern w:val="0"/>
                <w:sz w:val="24"/>
                <w:szCs w:val="24"/>
              </w:rPr>
            </w:pPr>
          </w:p>
          <w:p w14:paraId="7A9DDB5A" w14:textId="77777777" w:rsidR="00752F6F" w:rsidRDefault="00752F6F">
            <w:pPr>
              <w:widowControl/>
              <w:spacing w:line="68" w:lineRule="atLeast"/>
              <w:jc w:val="left"/>
              <w:rPr>
                <w:rFonts w:ascii="仿宋" w:eastAsia="仿宋" w:hAnsi="仿宋" w:cs="Arial" w:hint="eastAsia"/>
                <w:kern w:val="0"/>
                <w:sz w:val="24"/>
                <w:szCs w:val="24"/>
              </w:rPr>
            </w:pPr>
          </w:p>
          <w:p w14:paraId="14F4FF50" w14:textId="77777777" w:rsidR="00752F6F" w:rsidRDefault="00752F6F">
            <w:pPr>
              <w:widowControl/>
              <w:spacing w:line="68" w:lineRule="atLeast"/>
              <w:jc w:val="left"/>
              <w:rPr>
                <w:rFonts w:ascii="仿宋" w:eastAsia="仿宋" w:hAnsi="仿宋" w:cs="Arial" w:hint="eastAsia"/>
                <w:kern w:val="0"/>
                <w:sz w:val="24"/>
                <w:szCs w:val="24"/>
              </w:rPr>
            </w:pPr>
          </w:p>
          <w:p w14:paraId="15F35E08" w14:textId="77777777" w:rsidR="00752F6F" w:rsidRDefault="00752F6F">
            <w:pPr>
              <w:widowControl/>
              <w:spacing w:line="68" w:lineRule="atLeast"/>
              <w:jc w:val="left"/>
              <w:rPr>
                <w:rFonts w:ascii="仿宋" w:eastAsia="仿宋" w:hAnsi="仿宋" w:cs="Arial" w:hint="eastAsia"/>
                <w:kern w:val="0"/>
                <w:sz w:val="24"/>
                <w:szCs w:val="24"/>
              </w:rPr>
            </w:pPr>
          </w:p>
          <w:p w14:paraId="346B14B3" w14:textId="77777777" w:rsidR="00752F6F" w:rsidRDefault="00752F6F">
            <w:pPr>
              <w:widowControl/>
              <w:spacing w:line="68" w:lineRule="atLeast"/>
              <w:jc w:val="left"/>
              <w:rPr>
                <w:rFonts w:ascii="仿宋" w:eastAsia="仿宋" w:hAnsi="仿宋" w:cs="Arial" w:hint="eastAsia"/>
                <w:kern w:val="0"/>
                <w:sz w:val="24"/>
                <w:szCs w:val="24"/>
              </w:rPr>
            </w:pPr>
          </w:p>
          <w:p w14:paraId="0B05EEEC" w14:textId="77777777" w:rsidR="00752F6F" w:rsidRDefault="00752F6F">
            <w:pPr>
              <w:widowControl/>
              <w:spacing w:line="68" w:lineRule="atLeast"/>
              <w:jc w:val="left"/>
              <w:rPr>
                <w:rFonts w:ascii="仿宋" w:eastAsia="仿宋" w:hAnsi="仿宋" w:cs="Arial" w:hint="eastAsia"/>
                <w:kern w:val="0"/>
                <w:sz w:val="24"/>
                <w:szCs w:val="24"/>
              </w:rPr>
            </w:pPr>
          </w:p>
          <w:p w14:paraId="7DAB89AE" w14:textId="77777777" w:rsidR="00752F6F" w:rsidRDefault="00752F6F">
            <w:pPr>
              <w:widowControl/>
              <w:spacing w:line="68" w:lineRule="atLeast"/>
              <w:jc w:val="left"/>
              <w:rPr>
                <w:rFonts w:ascii="仿宋" w:eastAsia="仿宋" w:hAnsi="仿宋" w:cs="Arial" w:hint="eastAsia"/>
                <w:kern w:val="0"/>
                <w:sz w:val="24"/>
                <w:szCs w:val="24"/>
              </w:rPr>
            </w:pPr>
          </w:p>
          <w:p w14:paraId="38CDD006" w14:textId="77777777" w:rsidR="00752F6F" w:rsidRDefault="00752F6F">
            <w:pPr>
              <w:widowControl/>
              <w:spacing w:line="68" w:lineRule="atLeast"/>
              <w:jc w:val="left"/>
              <w:rPr>
                <w:rFonts w:ascii="仿宋" w:eastAsia="仿宋" w:hAnsi="仿宋" w:cs="Arial" w:hint="eastAsia"/>
                <w:kern w:val="0"/>
                <w:sz w:val="24"/>
                <w:szCs w:val="24"/>
              </w:rPr>
            </w:pPr>
          </w:p>
          <w:p w14:paraId="4AB23ABD"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产出</w:t>
            </w:r>
            <w:r>
              <w:rPr>
                <w:rFonts w:ascii="仿宋" w:eastAsia="仿宋" w:hAnsi="仿宋" w:cs="Arial" w:hint="eastAsia"/>
                <w:kern w:val="0"/>
                <w:sz w:val="24"/>
                <w:szCs w:val="24"/>
              </w:rPr>
              <w:t>(15分)</w:t>
            </w:r>
          </w:p>
        </w:tc>
        <w:tc>
          <w:tcPr>
            <w:tcW w:w="803" w:type="dxa"/>
            <w:vMerge w:val="restart"/>
            <w:tcBorders>
              <w:top w:val="single" w:sz="4" w:space="0" w:color="000000"/>
              <w:left w:val="single" w:sz="4" w:space="0" w:color="000000"/>
              <w:right w:val="single" w:sz="4" w:space="0" w:color="000000"/>
            </w:tcBorders>
            <w:vAlign w:val="center"/>
          </w:tcPr>
          <w:p w14:paraId="32844638"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lastRenderedPageBreak/>
              <w:t>职责履行（</w:t>
            </w:r>
            <w:r>
              <w:rPr>
                <w:rFonts w:ascii="仿宋" w:eastAsia="仿宋" w:hAnsi="仿宋" w:cs="Arial" w:hint="eastAsia"/>
                <w:kern w:val="0"/>
                <w:sz w:val="24"/>
                <w:szCs w:val="24"/>
              </w:rPr>
              <w:t>15分</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auto"/>
              <w:right w:val="single" w:sz="4" w:space="0" w:color="auto"/>
            </w:tcBorders>
            <w:vAlign w:val="center"/>
          </w:tcPr>
          <w:p w14:paraId="178698DB"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项目实际完成率（</w:t>
            </w:r>
            <w:r>
              <w:rPr>
                <w:rFonts w:ascii="仿宋" w:eastAsia="仿宋" w:hAnsi="仿宋" w:cs="Arial" w:hint="eastAsia"/>
                <w:kern w:val="0"/>
                <w:sz w:val="24"/>
                <w:szCs w:val="24"/>
              </w:rPr>
              <w:t>4分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21A2BA1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部门履行职责而实际完成的项目数与计划完成的项目数的比率，用以反映和评价部门履职任务目标的实现程度。</w:t>
            </w:r>
          </w:p>
          <w:p w14:paraId="7ACAB8FB"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项目实际完成率</w:t>
            </w:r>
            <w:r>
              <w:rPr>
                <w:rFonts w:ascii="仿宋" w:eastAsia="仿宋" w:hAnsi="仿宋" w:cs="Arial" w:hint="eastAsia"/>
                <w:kern w:val="0"/>
                <w:sz w:val="24"/>
                <w:szCs w:val="24"/>
              </w:rPr>
              <w:t>=</w:t>
            </w:r>
            <w:r>
              <w:rPr>
                <w:rFonts w:ascii="仿宋" w:eastAsia="仿宋" w:hAnsi="仿宋" w:cs="Arial"/>
                <w:kern w:val="0"/>
                <w:sz w:val="24"/>
                <w:szCs w:val="24"/>
              </w:rPr>
              <w:t>（实际完成项目数</w:t>
            </w:r>
            <w:r>
              <w:rPr>
                <w:rFonts w:ascii="仿宋" w:eastAsia="仿宋" w:hAnsi="仿宋" w:cs="Arial" w:hint="eastAsia"/>
                <w:kern w:val="0"/>
                <w:sz w:val="24"/>
                <w:szCs w:val="24"/>
              </w:rPr>
              <w:t>/</w:t>
            </w:r>
            <w:r>
              <w:rPr>
                <w:rFonts w:ascii="仿宋" w:eastAsia="仿宋" w:hAnsi="仿宋" w:cs="Arial"/>
                <w:kern w:val="0"/>
                <w:sz w:val="24"/>
                <w:szCs w:val="24"/>
              </w:rPr>
              <w:t>计划完成项目数）×</w:t>
            </w:r>
            <w:r>
              <w:rPr>
                <w:rFonts w:ascii="仿宋" w:eastAsia="仿宋" w:hAnsi="仿宋" w:cs="Arial" w:hint="eastAsia"/>
                <w:kern w:val="0"/>
                <w:sz w:val="24"/>
                <w:szCs w:val="24"/>
              </w:rPr>
              <w:t>100%</w:t>
            </w:r>
            <w:r>
              <w:rPr>
                <w:rFonts w:ascii="仿宋" w:eastAsia="仿宋" w:hAnsi="仿宋" w:cs="Arial"/>
                <w:kern w:val="0"/>
                <w:sz w:val="24"/>
                <w:szCs w:val="24"/>
              </w:rPr>
              <w:t>。</w:t>
            </w:r>
          </w:p>
        </w:tc>
        <w:tc>
          <w:tcPr>
            <w:tcW w:w="3780" w:type="dxa"/>
            <w:tcBorders>
              <w:top w:val="single" w:sz="4" w:space="0" w:color="000000"/>
              <w:left w:val="single" w:sz="4" w:space="0" w:color="auto"/>
              <w:bottom w:val="single" w:sz="4" w:space="0" w:color="auto"/>
              <w:right w:val="single" w:sz="4" w:space="0" w:color="auto"/>
            </w:tcBorders>
            <w:vAlign w:val="center"/>
          </w:tcPr>
          <w:p w14:paraId="4E277C3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目标值为100%；</w:t>
            </w:r>
          </w:p>
          <w:p w14:paraId="5BD4BD0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达到目标值得4分；</w:t>
            </w:r>
          </w:p>
          <w:p w14:paraId="0B643266"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100%＞结果≥95%，得3分；</w:t>
            </w:r>
          </w:p>
          <w:p w14:paraId="1DEE34C5"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95%＞结果≥90%，得2分；</w:t>
            </w:r>
          </w:p>
          <w:p w14:paraId="566B2881"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90%＞结果≥85%，得1分；</w:t>
            </w:r>
          </w:p>
          <w:p w14:paraId="67FDCCE1"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lastRenderedPageBreak/>
              <w:t>结果＜</w:t>
            </w:r>
            <w:r>
              <w:rPr>
                <w:rFonts w:ascii="仿宋" w:eastAsia="仿宋" w:hAnsi="仿宋" w:cs="宋体" w:hint="eastAsia"/>
                <w:kern w:val="0"/>
                <w:sz w:val="24"/>
                <w:szCs w:val="24"/>
              </w:rPr>
              <w:t>85%得0分。</w:t>
            </w:r>
          </w:p>
        </w:tc>
        <w:tc>
          <w:tcPr>
            <w:tcW w:w="1090" w:type="dxa"/>
            <w:tcBorders>
              <w:top w:val="single" w:sz="4" w:space="0" w:color="000000"/>
              <w:left w:val="single" w:sz="4" w:space="0" w:color="auto"/>
              <w:bottom w:val="single" w:sz="4" w:space="0" w:color="auto"/>
              <w:right w:val="single" w:sz="4" w:space="0" w:color="000000"/>
            </w:tcBorders>
            <w:vAlign w:val="center"/>
          </w:tcPr>
          <w:p w14:paraId="0EA9C2C9" w14:textId="77777777" w:rsidR="00752F6F" w:rsidRDefault="00000000">
            <w:pPr>
              <w:widowControl/>
              <w:spacing w:line="68" w:lineRule="atLeast"/>
              <w:jc w:val="center"/>
              <w:rPr>
                <w:rFonts w:ascii="仿宋" w:eastAsia="宋体" w:hAnsi="仿宋" w:cs="宋体" w:hint="eastAsia"/>
                <w:kern w:val="0"/>
                <w:sz w:val="24"/>
                <w:szCs w:val="24"/>
              </w:rPr>
            </w:pPr>
            <w:r>
              <w:rPr>
                <w:rFonts w:ascii="宋体" w:eastAsia="宋体" w:hAnsi="宋体" w:cs="宋体" w:hint="eastAsia"/>
                <w:kern w:val="0"/>
                <w:sz w:val="20"/>
                <w:szCs w:val="24"/>
              </w:rPr>
              <w:lastRenderedPageBreak/>
              <w:t>4</w:t>
            </w:r>
          </w:p>
        </w:tc>
      </w:tr>
      <w:tr w:rsidR="00752F6F" w14:paraId="1CB71D6F" w14:textId="77777777">
        <w:trPr>
          <w:trHeight w:val="1349"/>
          <w:jc w:val="center"/>
        </w:trPr>
        <w:tc>
          <w:tcPr>
            <w:tcW w:w="733" w:type="dxa"/>
            <w:vMerge/>
            <w:tcBorders>
              <w:left w:val="single" w:sz="4" w:space="0" w:color="000000"/>
              <w:right w:val="single" w:sz="4" w:space="0" w:color="000000"/>
            </w:tcBorders>
            <w:vAlign w:val="center"/>
          </w:tcPr>
          <w:p w14:paraId="6B772922"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5571E8DF"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0DFFA608"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项目质量达标率（</w:t>
            </w:r>
            <w:r>
              <w:rPr>
                <w:rFonts w:ascii="仿宋" w:eastAsia="仿宋" w:hAnsi="仿宋" w:cs="Arial" w:hint="eastAsia"/>
                <w:kern w:val="0"/>
                <w:sz w:val="24"/>
                <w:szCs w:val="24"/>
              </w:rPr>
              <w:t>4分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23912D6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部门已完成项目中质量达标项目个数占已完成项目个数的比率</w:t>
            </w:r>
            <w:r>
              <w:rPr>
                <w:rFonts w:ascii="仿宋" w:eastAsia="仿宋" w:hAnsi="仿宋" w:cs="Arial" w:hint="eastAsia"/>
                <w:kern w:val="0"/>
                <w:sz w:val="24"/>
                <w:szCs w:val="24"/>
              </w:rPr>
              <w:t>,</w:t>
            </w:r>
            <w:r>
              <w:rPr>
                <w:rFonts w:ascii="仿宋" w:eastAsia="仿宋" w:hAnsi="仿宋" w:cs="Arial"/>
                <w:kern w:val="0"/>
                <w:sz w:val="24"/>
                <w:szCs w:val="24"/>
              </w:rPr>
              <w:t>用以反映和评价部门履职质量目标的实现程度。</w:t>
            </w:r>
          </w:p>
          <w:p w14:paraId="1388114E"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项目质量达标率</w:t>
            </w:r>
            <w:r>
              <w:rPr>
                <w:rFonts w:ascii="仿宋" w:eastAsia="仿宋" w:hAnsi="仿宋" w:cs="Arial" w:hint="eastAsia"/>
                <w:kern w:val="0"/>
                <w:sz w:val="24"/>
                <w:szCs w:val="24"/>
              </w:rPr>
              <w:t>=</w:t>
            </w:r>
            <w:r>
              <w:rPr>
                <w:rFonts w:ascii="仿宋" w:eastAsia="仿宋" w:hAnsi="仿宋" w:cs="Arial"/>
                <w:kern w:val="0"/>
                <w:sz w:val="24"/>
                <w:szCs w:val="24"/>
              </w:rPr>
              <w:t>（已完成项目中质量达标项目个数</w:t>
            </w:r>
            <w:r>
              <w:rPr>
                <w:rFonts w:ascii="仿宋" w:eastAsia="仿宋" w:hAnsi="仿宋" w:cs="Arial" w:hint="eastAsia"/>
                <w:kern w:val="0"/>
                <w:sz w:val="24"/>
                <w:szCs w:val="24"/>
              </w:rPr>
              <w:t>/</w:t>
            </w:r>
            <w:r>
              <w:rPr>
                <w:rFonts w:ascii="仿宋" w:eastAsia="仿宋" w:hAnsi="仿宋" w:cs="Arial"/>
                <w:kern w:val="0"/>
                <w:sz w:val="24"/>
                <w:szCs w:val="24"/>
              </w:rPr>
              <w:t>已完成项目个数）×</w:t>
            </w:r>
            <w:r>
              <w:rPr>
                <w:rFonts w:ascii="仿宋" w:eastAsia="仿宋" w:hAnsi="仿宋" w:cs="Arial" w:hint="eastAsia"/>
                <w:kern w:val="0"/>
                <w:sz w:val="24"/>
                <w:szCs w:val="24"/>
              </w:rPr>
              <w:t>100%</w:t>
            </w:r>
            <w:r>
              <w:rPr>
                <w:rFonts w:ascii="仿宋" w:eastAsia="仿宋" w:hAnsi="仿宋" w:cs="Arial"/>
                <w:kern w:val="0"/>
                <w:sz w:val="24"/>
                <w:szCs w:val="24"/>
              </w:rPr>
              <w:t>。</w:t>
            </w:r>
          </w:p>
          <w:p w14:paraId="660C8FFC"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项目质量达标是指项目决算验收合格。</w:t>
            </w:r>
          </w:p>
        </w:tc>
        <w:tc>
          <w:tcPr>
            <w:tcW w:w="3780" w:type="dxa"/>
            <w:tcBorders>
              <w:top w:val="single" w:sz="4" w:space="0" w:color="000000"/>
              <w:left w:val="single" w:sz="4" w:space="0" w:color="auto"/>
              <w:bottom w:val="single" w:sz="4" w:space="0" w:color="auto"/>
              <w:right w:val="single" w:sz="4" w:space="0" w:color="auto"/>
            </w:tcBorders>
            <w:vAlign w:val="center"/>
          </w:tcPr>
          <w:p w14:paraId="0AFCAEA9"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目标值100%；以4分为上限，采用完成比率法计分：得分=项目质量达标率×4，</w:t>
            </w:r>
            <w:r>
              <w:rPr>
                <w:rFonts w:ascii="仿宋" w:eastAsia="仿宋" w:hAnsi="仿宋" w:cs="Arial" w:hint="eastAsia"/>
                <w:kern w:val="0"/>
                <w:sz w:val="24"/>
                <w:szCs w:val="24"/>
              </w:rPr>
              <w:t>≤</w:t>
            </w:r>
            <w:r>
              <w:rPr>
                <w:rFonts w:ascii="仿宋" w:eastAsia="仿宋" w:hAnsi="仿宋" w:cs="宋体" w:hint="eastAsia"/>
                <w:kern w:val="0"/>
                <w:sz w:val="24"/>
                <w:szCs w:val="24"/>
              </w:rPr>
              <w:t>95%的扣4分。</w:t>
            </w:r>
          </w:p>
        </w:tc>
        <w:tc>
          <w:tcPr>
            <w:tcW w:w="1090" w:type="dxa"/>
            <w:tcBorders>
              <w:top w:val="single" w:sz="4" w:space="0" w:color="000000"/>
              <w:left w:val="single" w:sz="4" w:space="0" w:color="auto"/>
              <w:bottom w:val="single" w:sz="4" w:space="0" w:color="auto"/>
              <w:right w:val="single" w:sz="4" w:space="0" w:color="000000"/>
            </w:tcBorders>
            <w:vAlign w:val="center"/>
          </w:tcPr>
          <w:p w14:paraId="1AC54364" w14:textId="77777777" w:rsidR="00752F6F" w:rsidRDefault="00000000">
            <w:pPr>
              <w:widowControl/>
              <w:spacing w:line="68" w:lineRule="atLeast"/>
              <w:jc w:val="center"/>
              <w:rPr>
                <w:rFonts w:ascii="仿宋" w:eastAsia="宋体" w:hAnsi="仿宋" w:cs="宋体" w:hint="eastAsia"/>
                <w:kern w:val="0"/>
                <w:sz w:val="24"/>
                <w:szCs w:val="24"/>
              </w:rPr>
            </w:pPr>
            <w:r>
              <w:rPr>
                <w:rFonts w:ascii="宋体" w:eastAsia="宋体" w:hAnsi="宋体" w:cs="宋体" w:hint="eastAsia"/>
                <w:kern w:val="0"/>
                <w:sz w:val="20"/>
                <w:szCs w:val="24"/>
              </w:rPr>
              <w:t>4</w:t>
            </w:r>
          </w:p>
        </w:tc>
      </w:tr>
      <w:tr w:rsidR="00752F6F" w14:paraId="702C2ED5" w14:textId="77777777">
        <w:trPr>
          <w:trHeight w:val="68"/>
          <w:jc w:val="center"/>
        </w:trPr>
        <w:tc>
          <w:tcPr>
            <w:tcW w:w="733" w:type="dxa"/>
            <w:vMerge/>
            <w:tcBorders>
              <w:left w:val="single" w:sz="4" w:space="0" w:color="000000"/>
              <w:right w:val="single" w:sz="4" w:space="0" w:color="000000"/>
            </w:tcBorders>
            <w:vAlign w:val="center"/>
          </w:tcPr>
          <w:p w14:paraId="37F0F774"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right w:val="single" w:sz="4" w:space="0" w:color="000000"/>
            </w:tcBorders>
            <w:vAlign w:val="center"/>
          </w:tcPr>
          <w:p w14:paraId="3251E599"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0AE1EADD"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重点工作办结率</w:t>
            </w:r>
            <w:r>
              <w:rPr>
                <w:rFonts w:ascii="仿宋" w:eastAsia="仿宋" w:hAnsi="仿宋" w:cs="Arial"/>
                <w:kern w:val="0"/>
                <w:sz w:val="24"/>
                <w:szCs w:val="24"/>
              </w:rPr>
              <w:t>（</w:t>
            </w:r>
            <w:r>
              <w:rPr>
                <w:rFonts w:ascii="仿宋" w:eastAsia="仿宋" w:hAnsi="仿宋" w:cs="Arial" w:hint="eastAsia"/>
                <w:kern w:val="0"/>
                <w:sz w:val="24"/>
                <w:szCs w:val="24"/>
              </w:rPr>
              <w:t>4分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17FBD051"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部门年度重点工作实际完成数与交办或下达数的比率，用以反映部门对重点工作的办理落实程度。</w:t>
            </w:r>
          </w:p>
          <w:p w14:paraId="32737776"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重点工作办结率=（重点工作实际完成数/交办或下达数）×100%。</w:t>
            </w:r>
          </w:p>
          <w:p w14:paraId="12BAC103"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重点工作是指党委、政府、人大、相关部门交办或下达的工作任务。</w:t>
            </w:r>
          </w:p>
        </w:tc>
        <w:tc>
          <w:tcPr>
            <w:tcW w:w="3780" w:type="dxa"/>
            <w:tcBorders>
              <w:top w:val="single" w:sz="4" w:space="0" w:color="000000"/>
              <w:left w:val="single" w:sz="4" w:space="0" w:color="auto"/>
              <w:bottom w:val="single" w:sz="4" w:space="0" w:color="auto"/>
              <w:right w:val="single" w:sz="4" w:space="0" w:color="auto"/>
            </w:tcBorders>
            <w:vAlign w:val="center"/>
          </w:tcPr>
          <w:p w14:paraId="218B4D15"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kern w:val="0"/>
                <w:sz w:val="24"/>
                <w:szCs w:val="24"/>
              </w:rPr>
              <w:t>目标值100%；以4分为上限，采用完成比率法计分：得分=重点工作办结率×4，</w:t>
            </w:r>
            <w:r>
              <w:rPr>
                <w:rFonts w:ascii="仿宋" w:eastAsia="仿宋" w:hAnsi="仿宋" w:cs="Arial" w:hint="eastAsia"/>
                <w:kern w:val="0"/>
                <w:sz w:val="24"/>
                <w:szCs w:val="24"/>
              </w:rPr>
              <w:t>≤</w:t>
            </w:r>
            <w:r>
              <w:rPr>
                <w:rFonts w:ascii="仿宋" w:eastAsia="仿宋" w:hAnsi="仿宋" w:cs="宋体" w:hint="eastAsia"/>
                <w:kern w:val="0"/>
                <w:sz w:val="24"/>
                <w:szCs w:val="24"/>
              </w:rPr>
              <w:t>90%的扣4分。</w:t>
            </w:r>
          </w:p>
        </w:tc>
        <w:tc>
          <w:tcPr>
            <w:tcW w:w="1090" w:type="dxa"/>
            <w:tcBorders>
              <w:top w:val="single" w:sz="4" w:space="0" w:color="000000"/>
              <w:left w:val="single" w:sz="4" w:space="0" w:color="auto"/>
              <w:bottom w:val="single" w:sz="4" w:space="0" w:color="auto"/>
              <w:right w:val="single" w:sz="4" w:space="0" w:color="000000"/>
            </w:tcBorders>
            <w:vAlign w:val="center"/>
          </w:tcPr>
          <w:p w14:paraId="7818F2EC" w14:textId="77777777" w:rsidR="00752F6F" w:rsidRDefault="00000000">
            <w:pPr>
              <w:widowControl/>
              <w:spacing w:line="68" w:lineRule="atLeast"/>
              <w:jc w:val="center"/>
              <w:rPr>
                <w:rFonts w:ascii="仿宋" w:eastAsia="宋体" w:hAnsi="仿宋" w:cs="宋体" w:hint="eastAsia"/>
                <w:kern w:val="0"/>
                <w:sz w:val="24"/>
                <w:szCs w:val="24"/>
              </w:rPr>
            </w:pPr>
            <w:r>
              <w:rPr>
                <w:rFonts w:ascii="宋体" w:eastAsia="宋体" w:hAnsi="宋体" w:cs="宋体" w:hint="eastAsia"/>
                <w:kern w:val="0"/>
                <w:sz w:val="20"/>
                <w:szCs w:val="24"/>
              </w:rPr>
              <w:t>4</w:t>
            </w:r>
          </w:p>
        </w:tc>
      </w:tr>
      <w:tr w:rsidR="00752F6F" w14:paraId="18330E87" w14:textId="77777777">
        <w:trPr>
          <w:trHeight w:val="1384"/>
          <w:jc w:val="center"/>
        </w:trPr>
        <w:tc>
          <w:tcPr>
            <w:tcW w:w="733" w:type="dxa"/>
            <w:vMerge/>
            <w:tcBorders>
              <w:left w:val="single" w:sz="4" w:space="0" w:color="000000"/>
              <w:bottom w:val="single" w:sz="4" w:space="0" w:color="000000"/>
              <w:right w:val="single" w:sz="4" w:space="0" w:color="000000"/>
            </w:tcBorders>
            <w:vAlign w:val="center"/>
          </w:tcPr>
          <w:p w14:paraId="6A0D9F2E" w14:textId="77777777" w:rsidR="00752F6F" w:rsidRDefault="00752F6F">
            <w:pPr>
              <w:widowControl/>
              <w:jc w:val="left"/>
              <w:rPr>
                <w:rFonts w:ascii="仿宋" w:eastAsia="仿宋" w:hAnsi="仿宋" w:cs="宋体" w:hint="eastAsia"/>
                <w:kern w:val="0"/>
                <w:sz w:val="24"/>
                <w:szCs w:val="24"/>
              </w:rPr>
            </w:pPr>
          </w:p>
        </w:tc>
        <w:tc>
          <w:tcPr>
            <w:tcW w:w="803" w:type="dxa"/>
            <w:vMerge/>
            <w:tcBorders>
              <w:left w:val="single" w:sz="4" w:space="0" w:color="000000"/>
              <w:bottom w:val="single" w:sz="4" w:space="0" w:color="000000"/>
              <w:right w:val="single" w:sz="4" w:space="0" w:color="000000"/>
            </w:tcBorders>
            <w:vAlign w:val="center"/>
          </w:tcPr>
          <w:p w14:paraId="27A0A704" w14:textId="77777777" w:rsidR="00752F6F" w:rsidRDefault="00752F6F">
            <w:pPr>
              <w:widowControl/>
              <w:jc w:val="left"/>
              <w:rPr>
                <w:rFonts w:ascii="仿宋" w:eastAsia="仿宋" w:hAnsi="仿宋" w:cs="宋体" w:hint="eastAsia"/>
                <w:kern w:val="0"/>
                <w:sz w:val="24"/>
                <w:szCs w:val="24"/>
              </w:rPr>
            </w:pPr>
          </w:p>
        </w:tc>
        <w:tc>
          <w:tcPr>
            <w:tcW w:w="1182" w:type="dxa"/>
            <w:tcBorders>
              <w:top w:val="single" w:sz="4" w:space="0" w:color="000000"/>
              <w:left w:val="single" w:sz="4" w:space="0" w:color="000000"/>
              <w:bottom w:val="single" w:sz="4" w:space="0" w:color="auto"/>
              <w:right w:val="single" w:sz="4" w:space="0" w:color="auto"/>
            </w:tcBorders>
            <w:vAlign w:val="center"/>
          </w:tcPr>
          <w:p w14:paraId="59340F3B"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部门绩效自评项目占比率（</w:t>
            </w:r>
            <w:r>
              <w:rPr>
                <w:rFonts w:ascii="仿宋" w:eastAsia="仿宋" w:hAnsi="仿宋" w:cs="Arial" w:hint="eastAsia"/>
                <w:kern w:val="0"/>
                <w:sz w:val="24"/>
                <w:szCs w:val="24"/>
              </w:rPr>
              <w:t>3分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auto"/>
              <w:right w:val="single" w:sz="4" w:space="0" w:color="auto"/>
            </w:tcBorders>
            <w:vAlign w:val="center"/>
          </w:tcPr>
          <w:p w14:paraId="3D392EE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部门自评项目在所有项目中所占的份额，反映和评价部门对项目自评的重视程度。</w:t>
            </w:r>
          </w:p>
          <w:p w14:paraId="55C990BC"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占比率</w:t>
            </w:r>
            <w:r>
              <w:rPr>
                <w:rFonts w:ascii="仿宋" w:eastAsia="仿宋" w:hAnsi="仿宋" w:cs="Arial" w:hint="eastAsia"/>
                <w:kern w:val="0"/>
                <w:sz w:val="24"/>
                <w:szCs w:val="24"/>
              </w:rPr>
              <w:t>=(</w:t>
            </w:r>
            <w:r>
              <w:rPr>
                <w:rFonts w:ascii="仿宋" w:eastAsia="仿宋" w:hAnsi="仿宋" w:cs="Arial"/>
                <w:kern w:val="0"/>
                <w:sz w:val="24"/>
                <w:szCs w:val="24"/>
              </w:rPr>
              <w:t>自评项目</w:t>
            </w:r>
            <w:r>
              <w:rPr>
                <w:rFonts w:ascii="仿宋" w:eastAsia="仿宋" w:hAnsi="仿宋" w:cs="Arial" w:hint="eastAsia"/>
                <w:kern w:val="0"/>
                <w:sz w:val="24"/>
                <w:szCs w:val="24"/>
              </w:rPr>
              <w:t>资金量/</w:t>
            </w:r>
            <w:r>
              <w:rPr>
                <w:rFonts w:ascii="仿宋" w:eastAsia="仿宋" w:hAnsi="仿宋" w:cs="Arial"/>
                <w:kern w:val="0"/>
                <w:sz w:val="24"/>
                <w:szCs w:val="24"/>
              </w:rPr>
              <w:t>项目</w:t>
            </w:r>
            <w:r>
              <w:rPr>
                <w:rFonts w:ascii="仿宋" w:eastAsia="仿宋" w:hAnsi="仿宋" w:cs="Arial" w:hint="eastAsia"/>
                <w:kern w:val="0"/>
                <w:sz w:val="24"/>
                <w:szCs w:val="24"/>
              </w:rPr>
              <w:t>支出资金量)×100%</w:t>
            </w:r>
            <w:r>
              <w:rPr>
                <w:rFonts w:ascii="仿宋" w:eastAsia="仿宋" w:hAnsi="仿宋" w:cs="Arial"/>
                <w:kern w:val="0"/>
                <w:sz w:val="24"/>
                <w:szCs w:val="24"/>
              </w:rPr>
              <w:t>。</w:t>
            </w:r>
          </w:p>
          <w:p w14:paraId="30C2724F"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部门支出项目绩效自评范围：本年度列入本级财政预算安排的项目。</w:t>
            </w:r>
          </w:p>
        </w:tc>
        <w:tc>
          <w:tcPr>
            <w:tcW w:w="3780" w:type="dxa"/>
            <w:tcBorders>
              <w:top w:val="single" w:sz="4" w:space="0" w:color="000000"/>
              <w:left w:val="single" w:sz="4" w:space="0" w:color="auto"/>
              <w:bottom w:val="single" w:sz="4" w:space="0" w:color="auto"/>
              <w:right w:val="single" w:sz="4" w:space="0" w:color="auto"/>
            </w:tcBorders>
            <w:vAlign w:val="center"/>
          </w:tcPr>
          <w:p w14:paraId="2EA81DC3"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hint="eastAsia"/>
                <w:kern w:val="0"/>
                <w:sz w:val="24"/>
                <w:szCs w:val="24"/>
              </w:rPr>
              <w:t>达到目标值得3分，未达到目标值</w:t>
            </w:r>
            <w:r>
              <w:rPr>
                <w:rFonts w:ascii="仿宋" w:eastAsia="仿宋" w:hAnsi="仿宋" w:cs="宋体" w:hint="eastAsia"/>
                <w:kern w:val="0"/>
                <w:sz w:val="24"/>
                <w:szCs w:val="24"/>
              </w:rPr>
              <w:t>采用完成比率法计分：</w:t>
            </w:r>
            <w:r>
              <w:rPr>
                <w:rFonts w:ascii="仿宋" w:eastAsia="仿宋" w:hAnsi="仿宋" w:cs="Arial"/>
                <w:kern w:val="0"/>
                <w:sz w:val="24"/>
                <w:szCs w:val="24"/>
              </w:rPr>
              <w:t>得分</w:t>
            </w:r>
            <w:r>
              <w:rPr>
                <w:rFonts w:ascii="仿宋" w:eastAsia="仿宋" w:hAnsi="仿宋" w:cs="Arial" w:hint="eastAsia"/>
                <w:kern w:val="0"/>
                <w:sz w:val="24"/>
                <w:szCs w:val="24"/>
              </w:rPr>
              <w:t>=</w:t>
            </w:r>
            <w:r>
              <w:rPr>
                <w:rFonts w:ascii="仿宋" w:eastAsia="仿宋" w:hAnsi="仿宋" w:cs="Arial"/>
                <w:kern w:val="0"/>
                <w:sz w:val="24"/>
                <w:szCs w:val="24"/>
              </w:rPr>
              <w:t>占比率</w:t>
            </w:r>
            <w:r>
              <w:rPr>
                <w:rFonts w:ascii="仿宋" w:eastAsia="仿宋" w:hAnsi="仿宋" w:cs="Arial" w:hint="eastAsia"/>
                <w:kern w:val="0"/>
                <w:sz w:val="24"/>
                <w:szCs w:val="24"/>
              </w:rPr>
              <w:t>/目标值</w:t>
            </w:r>
            <w:r>
              <w:rPr>
                <w:rFonts w:ascii="仿宋" w:eastAsia="仿宋" w:hAnsi="仿宋" w:cs="Arial"/>
                <w:kern w:val="0"/>
                <w:sz w:val="24"/>
                <w:szCs w:val="24"/>
              </w:rPr>
              <w:t>×</w:t>
            </w:r>
            <w:r>
              <w:rPr>
                <w:rFonts w:ascii="仿宋" w:eastAsia="仿宋" w:hAnsi="仿宋" w:cs="Arial" w:hint="eastAsia"/>
                <w:kern w:val="0"/>
                <w:sz w:val="24"/>
                <w:szCs w:val="24"/>
              </w:rPr>
              <w:t>3，超过目标值不加分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auto"/>
              <w:right w:val="single" w:sz="4" w:space="0" w:color="000000"/>
            </w:tcBorders>
            <w:vAlign w:val="center"/>
          </w:tcPr>
          <w:p w14:paraId="028A8C3F"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3</w:t>
            </w:r>
          </w:p>
        </w:tc>
      </w:tr>
      <w:tr w:rsidR="00752F6F" w14:paraId="69BD749D" w14:textId="77777777">
        <w:trPr>
          <w:trHeight w:val="1718"/>
          <w:jc w:val="center"/>
        </w:trPr>
        <w:tc>
          <w:tcPr>
            <w:tcW w:w="733" w:type="dxa"/>
            <w:vMerge w:val="restart"/>
            <w:tcBorders>
              <w:top w:val="single" w:sz="4" w:space="0" w:color="000000"/>
              <w:left w:val="single" w:sz="4" w:space="0" w:color="000000"/>
              <w:right w:val="single" w:sz="4" w:space="0" w:color="000000"/>
            </w:tcBorders>
            <w:vAlign w:val="center"/>
          </w:tcPr>
          <w:p w14:paraId="79C10903" w14:textId="77777777" w:rsidR="00752F6F" w:rsidRDefault="00752F6F">
            <w:pPr>
              <w:widowControl/>
              <w:spacing w:line="68" w:lineRule="atLeast"/>
              <w:jc w:val="left"/>
              <w:rPr>
                <w:rFonts w:ascii="仿宋" w:eastAsia="仿宋" w:hAnsi="仿宋" w:cs="Arial" w:hint="eastAsia"/>
                <w:kern w:val="0"/>
                <w:sz w:val="24"/>
                <w:szCs w:val="24"/>
              </w:rPr>
            </w:pPr>
          </w:p>
          <w:p w14:paraId="7D83C33A" w14:textId="77777777" w:rsidR="00752F6F" w:rsidRDefault="00752F6F">
            <w:pPr>
              <w:widowControl/>
              <w:spacing w:line="68" w:lineRule="atLeast"/>
              <w:jc w:val="left"/>
              <w:rPr>
                <w:rFonts w:ascii="仿宋" w:eastAsia="仿宋" w:hAnsi="仿宋" w:cs="Arial" w:hint="eastAsia"/>
                <w:kern w:val="0"/>
                <w:sz w:val="24"/>
                <w:szCs w:val="24"/>
              </w:rPr>
            </w:pPr>
          </w:p>
          <w:p w14:paraId="42E5941D" w14:textId="77777777" w:rsidR="00752F6F" w:rsidRDefault="00752F6F">
            <w:pPr>
              <w:widowControl/>
              <w:spacing w:line="68" w:lineRule="atLeast"/>
              <w:jc w:val="left"/>
              <w:rPr>
                <w:rFonts w:ascii="仿宋" w:eastAsia="仿宋" w:hAnsi="仿宋" w:cs="Arial" w:hint="eastAsia"/>
                <w:kern w:val="0"/>
                <w:sz w:val="24"/>
                <w:szCs w:val="24"/>
              </w:rPr>
            </w:pPr>
          </w:p>
          <w:p w14:paraId="7C6FE2BD" w14:textId="77777777" w:rsidR="00752F6F" w:rsidRDefault="00752F6F">
            <w:pPr>
              <w:widowControl/>
              <w:spacing w:line="68" w:lineRule="atLeast"/>
              <w:jc w:val="left"/>
              <w:rPr>
                <w:rFonts w:ascii="仿宋" w:eastAsia="仿宋" w:hAnsi="仿宋" w:cs="Arial" w:hint="eastAsia"/>
                <w:kern w:val="0"/>
                <w:sz w:val="24"/>
                <w:szCs w:val="24"/>
              </w:rPr>
            </w:pPr>
          </w:p>
          <w:p w14:paraId="6B5A746E" w14:textId="77777777" w:rsidR="00752F6F" w:rsidRDefault="00752F6F">
            <w:pPr>
              <w:widowControl/>
              <w:spacing w:line="68" w:lineRule="atLeast"/>
              <w:jc w:val="left"/>
              <w:rPr>
                <w:rFonts w:ascii="仿宋" w:eastAsia="仿宋" w:hAnsi="仿宋" w:cs="Arial" w:hint="eastAsia"/>
                <w:kern w:val="0"/>
                <w:sz w:val="24"/>
                <w:szCs w:val="24"/>
              </w:rPr>
            </w:pPr>
          </w:p>
          <w:p w14:paraId="08317EE6" w14:textId="77777777" w:rsidR="00752F6F" w:rsidRDefault="00752F6F">
            <w:pPr>
              <w:widowControl/>
              <w:spacing w:line="68" w:lineRule="atLeast"/>
              <w:jc w:val="left"/>
              <w:rPr>
                <w:rFonts w:ascii="仿宋" w:eastAsia="仿宋" w:hAnsi="仿宋" w:cs="Arial" w:hint="eastAsia"/>
                <w:kern w:val="0"/>
                <w:sz w:val="24"/>
                <w:szCs w:val="24"/>
              </w:rPr>
            </w:pPr>
          </w:p>
          <w:p w14:paraId="6DDDF66C" w14:textId="77777777" w:rsidR="00752F6F" w:rsidRDefault="00752F6F">
            <w:pPr>
              <w:widowControl/>
              <w:spacing w:line="68" w:lineRule="atLeast"/>
              <w:jc w:val="left"/>
              <w:rPr>
                <w:rFonts w:ascii="仿宋" w:eastAsia="仿宋" w:hAnsi="仿宋" w:cs="Arial" w:hint="eastAsia"/>
                <w:kern w:val="0"/>
                <w:sz w:val="24"/>
                <w:szCs w:val="24"/>
              </w:rPr>
            </w:pPr>
          </w:p>
          <w:p w14:paraId="77438843"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效果（</w:t>
            </w:r>
            <w:r>
              <w:rPr>
                <w:rFonts w:ascii="仿宋" w:eastAsia="仿宋" w:hAnsi="仿宋" w:cs="Arial" w:hint="eastAsia"/>
                <w:kern w:val="0"/>
                <w:sz w:val="24"/>
                <w:szCs w:val="24"/>
              </w:rPr>
              <w:t>15</w:t>
            </w:r>
            <w:r>
              <w:rPr>
                <w:rFonts w:ascii="仿宋" w:eastAsia="仿宋" w:hAnsi="仿宋" w:cs="Arial"/>
                <w:kern w:val="0"/>
                <w:sz w:val="24"/>
                <w:szCs w:val="24"/>
              </w:rPr>
              <w:t>）</w:t>
            </w:r>
          </w:p>
          <w:p w14:paraId="74CF7C6E" w14:textId="77777777" w:rsidR="00752F6F" w:rsidRDefault="00752F6F">
            <w:pPr>
              <w:widowControl/>
              <w:spacing w:line="68" w:lineRule="atLeast"/>
              <w:jc w:val="left"/>
              <w:rPr>
                <w:rFonts w:ascii="仿宋" w:eastAsia="仿宋" w:hAnsi="仿宋" w:cs="Arial" w:hint="eastAsia"/>
                <w:kern w:val="0"/>
                <w:sz w:val="24"/>
                <w:szCs w:val="24"/>
              </w:rPr>
            </w:pPr>
          </w:p>
          <w:p w14:paraId="56E57F2C" w14:textId="77777777" w:rsidR="00752F6F" w:rsidRDefault="00752F6F">
            <w:pPr>
              <w:widowControl/>
              <w:spacing w:line="68" w:lineRule="atLeast"/>
              <w:jc w:val="left"/>
              <w:rPr>
                <w:rFonts w:ascii="仿宋" w:eastAsia="仿宋" w:hAnsi="仿宋" w:cs="Arial" w:hint="eastAsia"/>
                <w:kern w:val="0"/>
                <w:sz w:val="24"/>
                <w:szCs w:val="24"/>
              </w:rPr>
            </w:pPr>
          </w:p>
          <w:p w14:paraId="3D4C9486" w14:textId="77777777" w:rsidR="00752F6F" w:rsidRDefault="00752F6F">
            <w:pPr>
              <w:widowControl/>
              <w:spacing w:line="68" w:lineRule="atLeast"/>
              <w:jc w:val="left"/>
              <w:rPr>
                <w:rFonts w:ascii="仿宋" w:eastAsia="仿宋" w:hAnsi="仿宋" w:cs="Arial" w:hint="eastAsia"/>
                <w:kern w:val="0"/>
                <w:sz w:val="24"/>
                <w:szCs w:val="24"/>
              </w:rPr>
            </w:pPr>
          </w:p>
          <w:p w14:paraId="3DEAB4D8" w14:textId="77777777" w:rsidR="00752F6F" w:rsidRDefault="00752F6F">
            <w:pPr>
              <w:widowControl/>
              <w:spacing w:line="68" w:lineRule="atLeast"/>
              <w:jc w:val="left"/>
              <w:rPr>
                <w:rFonts w:ascii="仿宋" w:eastAsia="仿宋" w:hAnsi="仿宋" w:cs="Arial" w:hint="eastAsia"/>
                <w:kern w:val="0"/>
                <w:sz w:val="24"/>
                <w:szCs w:val="24"/>
              </w:rPr>
            </w:pPr>
          </w:p>
          <w:p w14:paraId="702885FA" w14:textId="77777777" w:rsidR="00752F6F" w:rsidRDefault="00752F6F">
            <w:pPr>
              <w:widowControl/>
              <w:spacing w:line="68" w:lineRule="atLeast"/>
              <w:jc w:val="left"/>
              <w:rPr>
                <w:rFonts w:ascii="仿宋" w:eastAsia="仿宋" w:hAnsi="仿宋" w:cs="Arial" w:hint="eastAsia"/>
                <w:kern w:val="0"/>
                <w:sz w:val="24"/>
                <w:szCs w:val="24"/>
              </w:rPr>
            </w:pPr>
          </w:p>
          <w:p w14:paraId="5DA8BAE9" w14:textId="77777777" w:rsidR="00752F6F" w:rsidRDefault="00752F6F">
            <w:pPr>
              <w:widowControl/>
              <w:spacing w:line="68" w:lineRule="atLeast"/>
              <w:jc w:val="left"/>
              <w:rPr>
                <w:rFonts w:ascii="仿宋" w:eastAsia="仿宋" w:hAnsi="仿宋" w:cs="Arial" w:hint="eastAsia"/>
                <w:kern w:val="0"/>
                <w:sz w:val="24"/>
                <w:szCs w:val="24"/>
              </w:rPr>
            </w:pPr>
          </w:p>
          <w:p w14:paraId="2D17567C" w14:textId="77777777" w:rsidR="00752F6F" w:rsidRDefault="00752F6F">
            <w:pPr>
              <w:widowControl/>
              <w:spacing w:line="68" w:lineRule="atLeast"/>
              <w:jc w:val="left"/>
              <w:rPr>
                <w:rFonts w:ascii="仿宋" w:eastAsia="仿宋" w:hAnsi="仿宋" w:cs="Arial" w:hint="eastAsia"/>
                <w:kern w:val="0"/>
                <w:sz w:val="24"/>
                <w:szCs w:val="24"/>
              </w:rPr>
            </w:pPr>
          </w:p>
          <w:p w14:paraId="735DA4B7" w14:textId="77777777" w:rsidR="00752F6F" w:rsidRDefault="00752F6F">
            <w:pPr>
              <w:widowControl/>
              <w:spacing w:line="68" w:lineRule="atLeast"/>
              <w:jc w:val="left"/>
              <w:rPr>
                <w:rFonts w:ascii="仿宋" w:eastAsia="仿宋" w:hAnsi="仿宋" w:cs="Arial" w:hint="eastAsia"/>
                <w:kern w:val="0"/>
                <w:sz w:val="24"/>
                <w:szCs w:val="24"/>
              </w:rPr>
            </w:pPr>
          </w:p>
          <w:p w14:paraId="6A85003B" w14:textId="77777777" w:rsidR="00752F6F" w:rsidRDefault="00752F6F">
            <w:pPr>
              <w:widowControl/>
              <w:spacing w:line="68" w:lineRule="atLeast"/>
              <w:jc w:val="left"/>
              <w:rPr>
                <w:rFonts w:ascii="仿宋" w:eastAsia="仿宋" w:hAnsi="仿宋" w:cs="Arial" w:hint="eastAsia"/>
                <w:kern w:val="0"/>
                <w:sz w:val="24"/>
                <w:szCs w:val="24"/>
              </w:rPr>
            </w:pPr>
          </w:p>
          <w:p w14:paraId="0B66CC1A" w14:textId="77777777" w:rsidR="00752F6F" w:rsidRDefault="00752F6F">
            <w:pPr>
              <w:widowControl/>
              <w:spacing w:line="68" w:lineRule="atLeast"/>
              <w:jc w:val="left"/>
              <w:rPr>
                <w:rFonts w:ascii="仿宋" w:eastAsia="仿宋" w:hAnsi="仿宋" w:cs="Arial" w:hint="eastAsia"/>
                <w:kern w:val="0"/>
                <w:sz w:val="24"/>
                <w:szCs w:val="24"/>
              </w:rPr>
            </w:pPr>
          </w:p>
          <w:p w14:paraId="01B0ADCF" w14:textId="77777777" w:rsidR="00752F6F" w:rsidRDefault="00752F6F">
            <w:pPr>
              <w:widowControl/>
              <w:spacing w:line="68" w:lineRule="atLeast"/>
              <w:jc w:val="left"/>
              <w:rPr>
                <w:rFonts w:ascii="仿宋" w:eastAsia="仿宋" w:hAnsi="仿宋" w:cs="Arial" w:hint="eastAsia"/>
                <w:kern w:val="0"/>
                <w:sz w:val="24"/>
                <w:szCs w:val="24"/>
              </w:rPr>
            </w:pPr>
          </w:p>
          <w:p w14:paraId="72087FB0" w14:textId="77777777" w:rsidR="00752F6F" w:rsidRDefault="00752F6F">
            <w:pPr>
              <w:widowControl/>
              <w:spacing w:line="68" w:lineRule="atLeast"/>
              <w:jc w:val="left"/>
              <w:rPr>
                <w:rFonts w:ascii="仿宋" w:eastAsia="仿宋" w:hAnsi="仿宋" w:cs="Arial" w:hint="eastAsia"/>
                <w:kern w:val="0"/>
                <w:sz w:val="24"/>
                <w:szCs w:val="24"/>
              </w:rPr>
            </w:pPr>
          </w:p>
          <w:p w14:paraId="4B178A8F" w14:textId="77777777" w:rsidR="00752F6F" w:rsidRDefault="00752F6F">
            <w:pPr>
              <w:widowControl/>
              <w:spacing w:line="68" w:lineRule="atLeast"/>
              <w:jc w:val="left"/>
              <w:rPr>
                <w:rFonts w:ascii="仿宋" w:eastAsia="仿宋" w:hAnsi="仿宋" w:cs="Arial" w:hint="eastAsia"/>
                <w:kern w:val="0"/>
                <w:sz w:val="24"/>
                <w:szCs w:val="24"/>
              </w:rPr>
            </w:pPr>
          </w:p>
          <w:p w14:paraId="612B7806" w14:textId="77777777" w:rsidR="00752F6F" w:rsidRDefault="00752F6F">
            <w:pPr>
              <w:widowControl/>
              <w:spacing w:line="68" w:lineRule="atLeast"/>
              <w:jc w:val="left"/>
              <w:rPr>
                <w:rFonts w:ascii="仿宋" w:eastAsia="仿宋" w:hAnsi="仿宋" w:cs="Arial" w:hint="eastAsia"/>
                <w:kern w:val="0"/>
                <w:sz w:val="24"/>
                <w:szCs w:val="24"/>
              </w:rPr>
            </w:pPr>
          </w:p>
          <w:p w14:paraId="5BA8637B" w14:textId="77777777" w:rsidR="00752F6F" w:rsidRDefault="00752F6F">
            <w:pPr>
              <w:widowControl/>
              <w:spacing w:line="68" w:lineRule="atLeast"/>
              <w:jc w:val="left"/>
              <w:rPr>
                <w:rFonts w:ascii="仿宋" w:eastAsia="仿宋" w:hAnsi="仿宋" w:cs="Arial" w:hint="eastAsia"/>
                <w:kern w:val="0"/>
                <w:sz w:val="24"/>
                <w:szCs w:val="24"/>
              </w:rPr>
            </w:pPr>
          </w:p>
          <w:p w14:paraId="65FD55B3" w14:textId="77777777" w:rsidR="00752F6F" w:rsidRDefault="00752F6F">
            <w:pPr>
              <w:widowControl/>
              <w:spacing w:line="68" w:lineRule="atLeast"/>
              <w:jc w:val="left"/>
              <w:rPr>
                <w:rFonts w:ascii="仿宋" w:eastAsia="仿宋" w:hAnsi="仿宋" w:cs="Arial" w:hint="eastAsia"/>
                <w:kern w:val="0"/>
                <w:sz w:val="24"/>
                <w:szCs w:val="24"/>
              </w:rPr>
            </w:pPr>
          </w:p>
          <w:p w14:paraId="42CDA312"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效果（</w:t>
            </w:r>
            <w:r>
              <w:rPr>
                <w:rFonts w:ascii="仿宋" w:eastAsia="仿宋" w:hAnsi="仿宋" w:cs="Arial" w:hint="eastAsia"/>
                <w:kern w:val="0"/>
                <w:sz w:val="24"/>
                <w:szCs w:val="24"/>
              </w:rPr>
              <w:t>15</w:t>
            </w:r>
            <w:r>
              <w:rPr>
                <w:rFonts w:ascii="仿宋" w:eastAsia="仿宋" w:hAnsi="仿宋" w:cs="Arial"/>
                <w:kern w:val="0"/>
                <w:sz w:val="24"/>
                <w:szCs w:val="24"/>
              </w:rPr>
              <w:t>）</w:t>
            </w:r>
          </w:p>
          <w:p w14:paraId="65F5CAB8" w14:textId="77777777" w:rsidR="00752F6F" w:rsidRDefault="00752F6F">
            <w:pPr>
              <w:widowControl/>
              <w:spacing w:line="68" w:lineRule="atLeast"/>
              <w:jc w:val="left"/>
              <w:rPr>
                <w:rFonts w:ascii="仿宋" w:eastAsia="仿宋" w:hAnsi="仿宋" w:cs="宋体" w:hint="eastAsia"/>
                <w:kern w:val="0"/>
                <w:sz w:val="24"/>
                <w:szCs w:val="24"/>
              </w:rPr>
            </w:pPr>
          </w:p>
        </w:tc>
        <w:tc>
          <w:tcPr>
            <w:tcW w:w="803" w:type="dxa"/>
            <w:tcBorders>
              <w:top w:val="single" w:sz="4" w:space="0" w:color="auto"/>
              <w:left w:val="single" w:sz="4" w:space="0" w:color="000000"/>
              <w:bottom w:val="single" w:sz="4" w:space="0" w:color="auto"/>
              <w:right w:val="single" w:sz="4" w:space="0" w:color="000000"/>
            </w:tcBorders>
            <w:vAlign w:val="center"/>
          </w:tcPr>
          <w:p w14:paraId="216EE53D"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lastRenderedPageBreak/>
              <w:t>监督发现问题</w:t>
            </w:r>
          </w:p>
          <w:p w14:paraId="365D1A52"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（2分）</w:t>
            </w:r>
          </w:p>
        </w:tc>
        <w:tc>
          <w:tcPr>
            <w:tcW w:w="1182" w:type="dxa"/>
            <w:tcBorders>
              <w:top w:val="single" w:sz="4" w:space="0" w:color="000000"/>
              <w:left w:val="single" w:sz="4" w:space="0" w:color="000000"/>
              <w:bottom w:val="single" w:sz="4" w:space="0" w:color="000000"/>
              <w:right w:val="single" w:sz="4" w:space="0" w:color="auto"/>
            </w:tcBorders>
            <w:vAlign w:val="center"/>
          </w:tcPr>
          <w:p w14:paraId="2CC7885E"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违规率（2分）</w:t>
            </w:r>
          </w:p>
        </w:tc>
        <w:tc>
          <w:tcPr>
            <w:tcW w:w="6554" w:type="dxa"/>
            <w:tcBorders>
              <w:top w:val="single" w:sz="4" w:space="0" w:color="000000"/>
              <w:left w:val="single" w:sz="4" w:space="0" w:color="auto"/>
              <w:bottom w:val="single" w:sz="4" w:space="0" w:color="000000"/>
              <w:right w:val="single" w:sz="4" w:space="0" w:color="auto"/>
            </w:tcBorders>
            <w:vAlign w:val="center"/>
          </w:tcPr>
          <w:p w14:paraId="7DC74A0C"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部门存在违规问题的资金数量占部门预算支出资金总额的比重，用以反映和考核部门预算资金管理使用的合法、合</w:t>
            </w:r>
            <w:proofErr w:type="gramStart"/>
            <w:r>
              <w:rPr>
                <w:rFonts w:ascii="仿宋" w:eastAsia="仿宋" w:hAnsi="仿宋" w:cs="Arial" w:hint="eastAsia"/>
                <w:kern w:val="0"/>
                <w:sz w:val="24"/>
                <w:szCs w:val="24"/>
              </w:rPr>
              <w:t>规</w:t>
            </w:r>
            <w:proofErr w:type="gramEnd"/>
            <w:r>
              <w:rPr>
                <w:rFonts w:ascii="仿宋" w:eastAsia="仿宋" w:hAnsi="仿宋" w:cs="Arial" w:hint="eastAsia"/>
                <w:kern w:val="0"/>
                <w:sz w:val="24"/>
                <w:szCs w:val="24"/>
              </w:rPr>
              <w:t>情况。</w:t>
            </w:r>
          </w:p>
          <w:p w14:paraId="6170AEA3"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违规率=存在违规问题的资金额/部门预算支出资金总额×100%</w:t>
            </w:r>
          </w:p>
        </w:tc>
        <w:tc>
          <w:tcPr>
            <w:tcW w:w="3780" w:type="dxa"/>
            <w:tcBorders>
              <w:top w:val="single" w:sz="4" w:space="0" w:color="000000"/>
              <w:left w:val="single" w:sz="4" w:space="0" w:color="auto"/>
              <w:bottom w:val="single" w:sz="4" w:space="0" w:color="000000"/>
              <w:right w:val="single" w:sz="4" w:space="0" w:color="auto"/>
            </w:tcBorders>
            <w:vAlign w:val="center"/>
          </w:tcPr>
          <w:p w14:paraId="3AE87BDB"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宋体" w:hint="eastAsia"/>
                <w:kern w:val="0"/>
                <w:sz w:val="24"/>
                <w:szCs w:val="24"/>
              </w:rPr>
              <w:t>目标值0，</w:t>
            </w:r>
            <w:r>
              <w:rPr>
                <w:rFonts w:ascii="仿宋" w:eastAsia="仿宋" w:hAnsi="仿宋" w:cs="Arial" w:hint="eastAsia"/>
                <w:kern w:val="0"/>
                <w:sz w:val="24"/>
                <w:szCs w:val="24"/>
              </w:rPr>
              <w:t>达到目标值得2分，未达到目标值的每增加0.1个百分点扣0.1分</w:t>
            </w:r>
          </w:p>
        </w:tc>
        <w:tc>
          <w:tcPr>
            <w:tcW w:w="1090" w:type="dxa"/>
            <w:tcBorders>
              <w:top w:val="single" w:sz="4" w:space="0" w:color="000000"/>
              <w:left w:val="single" w:sz="4" w:space="0" w:color="auto"/>
              <w:bottom w:val="single" w:sz="4" w:space="0" w:color="000000"/>
              <w:right w:val="single" w:sz="4" w:space="0" w:color="000000"/>
            </w:tcBorders>
            <w:vAlign w:val="center"/>
          </w:tcPr>
          <w:p w14:paraId="03E455D5" w14:textId="77777777" w:rsidR="00752F6F" w:rsidRDefault="00000000">
            <w:pPr>
              <w:widowControl/>
              <w:spacing w:line="68" w:lineRule="atLeast"/>
              <w:jc w:val="center"/>
              <w:rPr>
                <w:rFonts w:ascii="仿宋" w:eastAsia="宋体" w:hAnsi="仿宋" w:cs="宋体" w:hint="eastAsia"/>
                <w:kern w:val="0"/>
                <w:sz w:val="24"/>
                <w:szCs w:val="24"/>
              </w:rPr>
            </w:pPr>
            <w:r>
              <w:rPr>
                <w:rFonts w:ascii="宋体" w:eastAsia="宋体" w:hAnsi="宋体" w:cs="宋体" w:hint="eastAsia"/>
                <w:kern w:val="0"/>
                <w:sz w:val="20"/>
                <w:szCs w:val="24"/>
              </w:rPr>
              <w:t>2</w:t>
            </w:r>
          </w:p>
        </w:tc>
      </w:tr>
      <w:tr w:rsidR="00752F6F" w14:paraId="02C0BF04" w14:textId="77777777">
        <w:trPr>
          <w:trHeight w:val="2005"/>
          <w:jc w:val="center"/>
        </w:trPr>
        <w:tc>
          <w:tcPr>
            <w:tcW w:w="733" w:type="dxa"/>
            <w:vMerge/>
            <w:tcBorders>
              <w:left w:val="single" w:sz="4" w:space="0" w:color="000000"/>
              <w:right w:val="single" w:sz="4" w:space="0" w:color="000000"/>
            </w:tcBorders>
            <w:vAlign w:val="center"/>
          </w:tcPr>
          <w:p w14:paraId="242F99A2" w14:textId="77777777" w:rsidR="00752F6F" w:rsidRDefault="00752F6F">
            <w:pPr>
              <w:widowControl/>
              <w:spacing w:line="68" w:lineRule="atLeast"/>
              <w:jc w:val="left"/>
              <w:rPr>
                <w:rFonts w:ascii="仿宋" w:eastAsia="仿宋" w:hAnsi="仿宋" w:cs="Arial" w:hint="eastAsia"/>
                <w:kern w:val="0"/>
                <w:sz w:val="24"/>
                <w:szCs w:val="24"/>
              </w:rPr>
            </w:pPr>
          </w:p>
        </w:tc>
        <w:tc>
          <w:tcPr>
            <w:tcW w:w="803" w:type="dxa"/>
            <w:tcBorders>
              <w:top w:val="single" w:sz="4" w:space="0" w:color="auto"/>
              <w:left w:val="single" w:sz="4" w:space="0" w:color="000000"/>
              <w:bottom w:val="single" w:sz="4" w:space="0" w:color="auto"/>
              <w:right w:val="single" w:sz="4" w:space="0" w:color="000000"/>
            </w:tcBorders>
            <w:vAlign w:val="center"/>
          </w:tcPr>
          <w:p w14:paraId="51259339"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工作成效（</w:t>
            </w:r>
            <w:r>
              <w:rPr>
                <w:rFonts w:ascii="仿宋" w:eastAsia="仿宋" w:hAnsi="仿宋" w:cs="Arial" w:hint="eastAsia"/>
                <w:kern w:val="0"/>
                <w:sz w:val="24"/>
                <w:szCs w:val="24"/>
              </w:rPr>
              <w:t>5</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000000"/>
              <w:right w:val="single" w:sz="4" w:space="0" w:color="auto"/>
            </w:tcBorders>
            <w:vAlign w:val="center"/>
          </w:tcPr>
          <w:p w14:paraId="298DD47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bCs/>
                <w:color w:val="000000"/>
                <w:kern w:val="0"/>
                <w:sz w:val="24"/>
                <w:szCs w:val="24"/>
              </w:rPr>
              <w:t>部门预算绩效管理</w:t>
            </w:r>
            <w:r>
              <w:rPr>
                <w:rFonts w:ascii="仿宋" w:eastAsia="仿宋" w:hAnsi="仿宋" w:cs="宋体" w:hint="eastAsia"/>
                <w:bCs/>
                <w:color w:val="000000"/>
                <w:kern w:val="0"/>
                <w:sz w:val="24"/>
                <w:szCs w:val="24"/>
              </w:rPr>
              <w:t>考核评价</w:t>
            </w:r>
            <w:r>
              <w:rPr>
                <w:rFonts w:ascii="仿宋" w:eastAsia="仿宋" w:hAnsi="仿宋" w:cs="Arial"/>
                <w:bCs/>
                <w:kern w:val="0"/>
                <w:sz w:val="24"/>
                <w:szCs w:val="24"/>
              </w:rPr>
              <w:t>（</w:t>
            </w:r>
            <w:r>
              <w:rPr>
                <w:rFonts w:ascii="仿宋" w:eastAsia="仿宋" w:hAnsi="仿宋" w:cs="Arial" w:hint="eastAsia"/>
                <w:bCs/>
                <w:kern w:val="0"/>
                <w:sz w:val="24"/>
                <w:szCs w:val="24"/>
              </w:rPr>
              <w:t>5</w:t>
            </w:r>
            <w:r>
              <w:rPr>
                <w:rFonts w:ascii="仿宋" w:eastAsia="仿宋" w:hAnsi="仿宋" w:cs="Arial"/>
                <w:bCs/>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411C9C24"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color w:val="000000"/>
                <w:kern w:val="0"/>
                <w:sz w:val="24"/>
                <w:szCs w:val="24"/>
              </w:rPr>
              <w:t>财政部门对部门开展预算绩效管理工作的评价结果，用以反映部门对预算绩效管理工作的重视程度和取得的成效。</w:t>
            </w:r>
          </w:p>
          <w:p w14:paraId="019EF2CA"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财政部门对部门绩效管理工作开展情况进行核查评价，包括绩效目标管理、绩效执行监控、绩效自评和评价结果应用等情况，按百分制。</w:t>
            </w:r>
          </w:p>
          <w:p w14:paraId="49D4DD7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宋体" w:hint="eastAsia"/>
                <w:color w:val="000000"/>
                <w:kern w:val="0"/>
                <w:sz w:val="24"/>
                <w:szCs w:val="24"/>
              </w:rPr>
              <w:t>2.</w:t>
            </w:r>
            <w:r>
              <w:rPr>
                <w:rFonts w:ascii="仿宋" w:eastAsia="仿宋" w:hAnsi="仿宋" w:cs="宋体"/>
                <w:color w:val="000000"/>
                <w:kern w:val="0"/>
                <w:sz w:val="24"/>
                <w:szCs w:val="24"/>
              </w:rPr>
              <w:t>以部门为单位进行综合计算，得出各部门绩效管理工作评价结果。</w:t>
            </w:r>
          </w:p>
        </w:tc>
        <w:tc>
          <w:tcPr>
            <w:tcW w:w="3780" w:type="dxa"/>
            <w:tcBorders>
              <w:top w:val="single" w:sz="4" w:space="0" w:color="000000"/>
              <w:left w:val="single" w:sz="4" w:space="0" w:color="auto"/>
              <w:bottom w:val="single" w:sz="4" w:space="0" w:color="000000"/>
              <w:right w:val="single" w:sz="4" w:space="0" w:color="auto"/>
            </w:tcBorders>
            <w:vAlign w:val="center"/>
          </w:tcPr>
          <w:p w14:paraId="0640ECE9"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宋体"/>
                <w:color w:val="000000"/>
                <w:kern w:val="0"/>
                <w:sz w:val="24"/>
                <w:szCs w:val="24"/>
              </w:rPr>
              <w:t>综合得分</w:t>
            </w:r>
            <w:r>
              <w:rPr>
                <w:rFonts w:ascii="仿宋" w:eastAsia="仿宋" w:hAnsi="仿宋" w:cs="宋体" w:hint="eastAsia"/>
                <w:color w:val="000000"/>
                <w:kern w:val="0"/>
                <w:sz w:val="24"/>
                <w:szCs w:val="24"/>
              </w:rPr>
              <w:t>=</w:t>
            </w:r>
            <w:r>
              <w:rPr>
                <w:rFonts w:ascii="仿宋" w:eastAsia="仿宋" w:hAnsi="仿宋" w:cs="宋体"/>
                <w:color w:val="000000"/>
                <w:kern w:val="0"/>
                <w:sz w:val="24"/>
                <w:szCs w:val="24"/>
              </w:rPr>
              <w:t>（部门绩效管理工作评价结果</w:t>
            </w:r>
            <w:r>
              <w:rPr>
                <w:rFonts w:ascii="仿宋" w:eastAsia="仿宋" w:hAnsi="仿宋" w:cs="宋体" w:hint="eastAsia"/>
                <w:color w:val="000000"/>
                <w:kern w:val="0"/>
                <w:sz w:val="24"/>
                <w:szCs w:val="24"/>
              </w:rPr>
              <w:t>/100</w:t>
            </w:r>
            <w:r>
              <w:rPr>
                <w:rFonts w:ascii="仿宋" w:eastAsia="仿宋" w:hAnsi="仿宋" w:cs="宋体"/>
                <w:color w:val="000000"/>
                <w:kern w:val="0"/>
                <w:sz w:val="24"/>
                <w:szCs w:val="24"/>
              </w:rPr>
              <w:t>）</w:t>
            </w:r>
            <w:r>
              <w:rPr>
                <w:rFonts w:ascii="仿宋" w:eastAsia="仿宋" w:hAnsi="仿宋" w:cs="宋体" w:hint="eastAsia"/>
                <w:color w:val="000000"/>
                <w:kern w:val="0"/>
                <w:sz w:val="24"/>
                <w:szCs w:val="24"/>
              </w:rPr>
              <w:t>*5</w:t>
            </w:r>
            <w:r>
              <w:rPr>
                <w:rFonts w:ascii="仿宋" w:eastAsia="仿宋" w:hAnsi="仿宋" w:cs="宋体"/>
                <w:color w:val="000000"/>
                <w:kern w:val="0"/>
                <w:sz w:val="24"/>
                <w:szCs w:val="24"/>
              </w:rPr>
              <w:t>分</w:t>
            </w:r>
          </w:p>
          <w:p w14:paraId="03CD5AF3" w14:textId="77777777" w:rsidR="00752F6F" w:rsidRDefault="00000000">
            <w:pPr>
              <w:widowControl/>
              <w:spacing w:line="68" w:lineRule="atLeast"/>
              <w:jc w:val="left"/>
              <w:rPr>
                <w:rFonts w:ascii="仿宋" w:eastAsia="仿宋" w:hAnsi="仿宋" w:cs="宋体" w:hint="eastAsia"/>
                <w:kern w:val="0"/>
                <w:sz w:val="24"/>
                <w:szCs w:val="24"/>
              </w:rPr>
            </w:pPr>
            <w:r>
              <w:rPr>
                <w:rFonts w:ascii="宋体" w:eastAsia="宋体" w:hAnsi="宋体" w:cs="宋体" w:hint="eastAsia"/>
                <w:kern w:val="0"/>
                <w:sz w:val="24"/>
                <w:szCs w:val="24"/>
              </w:rPr>
              <w:t> </w:t>
            </w:r>
          </w:p>
        </w:tc>
        <w:tc>
          <w:tcPr>
            <w:tcW w:w="1090" w:type="dxa"/>
            <w:tcBorders>
              <w:top w:val="single" w:sz="4" w:space="0" w:color="000000"/>
              <w:left w:val="single" w:sz="4" w:space="0" w:color="auto"/>
              <w:bottom w:val="single" w:sz="4" w:space="0" w:color="000000"/>
              <w:right w:val="single" w:sz="4" w:space="0" w:color="000000"/>
            </w:tcBorders>
            <w:vAlign w:val="center"/>
          </w:tcPr>
          <w:p w14:paraId="7826C782"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5</w:t>
            </w:r>
          </w:p>
        </w:tc>
      </w:tr>
      <w:tr w:rsidR="00752F6F" w14:paraId="10B64EA6" w14:textId="77777777">
        <w:trPr>
          <w:trHeight w:val="68"/>
          <w:jc w:val="center"/>
        </w:trPr>
        <w:tc>
          <w:tcPr>
            <w:tcW w:w="733" w:type="dxa"/>
            <w:vMerge/>
            <w:tcBorders>
              <w:left w:val="single" w:sz="4" w:space="0" w:color="000000"/>
              <w:right w:val="single" w:sz="4" w:space="0" w:color="000000"/>
            </w:tcBorders>
            <w:vAlign w:val="center"/>
          </w:tcPr>
          <w:p w14:paraId="376CA870" w14:textId="77777777" w:rsidR="00752F6F" w:rsidRDefault="00752F6F">
            <w:pPr>
              <w:widowControl/>
              <w:jc w:val="left"/>
              <w:rPr>
                <w:rFonts w:ascii="仿宋" w:eastAsia="仿宋" w:hAnsi="仿宋" w:cs="宋体" w:hint="eastAsia"/>
                <w:kern w:val="0"/>
                <w:sz w:val="24"/>
                <w:szCs w:val="24"/>
              </w:rPr>
            </w:pPr>
          </w:p>
        </w:tc>
        <w:tc>
          <w:tcPr>
            <w:tcW w:w="803" w:type="dxa"/>
            <w:tcBorders>
              <w:top w:val="single" w:sz="4" w:space="0" w:color="auto"/>
              <w:left w:val="single" w:sz="4" w:space="0" w:color="000000"/>
              <w:bottom w:val="single" w:sz="4" w:space="0" w:color="auto"/>
              <w:right w:val="single" w:sz="4" w:space="0" w:color="000000"/>
            </w:tcBorders>
            <w:vAlign w:val="center"/>
          </w:tcPr>
          <w:p w14:paraId="5E869C11"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评价结果应用</w:t>
            </w:r>
          </w:p>
          <w:p w14:paraId="6D1E1EAD"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（2分）</w:t>
            </w:r>
          </w:p>
        </w:tc>
        <w:tc>
          <w:tcPr>
            <w:tcW w:w="1182" w:type="dxa"/>
            <w:tcBorders>
              <w:top w:val="single" w:sz="4" w:space="0" w:color="000000"/>
              <w:left w:val="single" w:sz="4" w:space="0" w:color="000000"/>
              <w:bottom w:val="single" w:sz="4" w:space="0" w:color="000000"/>
              <w:right w:val="single" w:sz="4" w:space="0" w:color="auto"/>
            </w:tcBorders>
            <w:vAlign w:val="center"/>
          </w:tcPr>
          <w:p w14:paraId="378BBF45"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应用率（2分）</w:t>
            </w:r>
          </w:p>
        </w:tc>
        <w:tc>
          <w:tcPr>
            <w:tcW w:w="6554" w:type="dxa"/>
            <w:tcBorders>
              <w:top w:val="single" w:sz="4" w:space="0" w:color="000000"/>
              <w:left w:val="single" w:sz="4" w:space="0" w:color="auto"/>
              <w:bottom w:val="single" w:sz="4" w:space="0" w:color="000000"/>
              <w:right w:val="single" w:sz="4" w:space="0" w:color="auto"/>
            </w:tcBorders>
            <w:vAlign w:val="center"/>
          </w:tcPr>
          <w:p w14:paraId="07358D9E"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部门应用绩效评价结果的项目数占绩效评价项目数的比重，用以反映和考核部门绩效评价结果的利用水平和程度。</w:t>
            </w:r>
          </w:p>
          <w:p w14:paraId="2C8687D1"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应用率=应用绩效评价结果的项目数量/部门实施绩效评价项目数量×100%。</w:t>
            </w:r>
          </w:p>
          <w:p w14:paraId="40153737"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780" w:type="dxa"/>
            <w:tcBorders>
              <w:top w:val="single" w:sz="4" w:space="0" w:color="000000"/>
              <w:left w:val="single" w:sz="4" w:space="0" w:color="auto"/>
              <w:bottom w:val="single" w:sz="4" w:space="0" w:color="000000"/>
              <w:right w:val="single" w:sz="4" w:space="0" w:color="auto"/>
            </w:tcBorders>
            <w:vAlign w:val="center"/>
          </w:tcPr>
          <w:p w14:paraId="08F40E1A"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hint="eastAsia"/>
                <w:kern w:val="0"/>
                <w:sz w:val="24"/>
                <w:szCs w:val="24"/>
              </w:rPr>
              <w:t>目标值为100%；以2分为上限，采用完成比率法计分：得分=应用率×2，超出目标值不加分。</w:t>
            </w:r>
          </w:p>
        </w:tc>
        <w:tc>
          <w:tcPr>
            <w:tcW w:w="1090" w:type="dxa"/>
            <w:tcBorders>
              <w:top w:val="single" w:sz="4" w:space="0" w:color="000000"/>
              <w:left w:val="single" w:sz="4" w:space="0" w:color="auto"/>
              <w:bottom w:val="single" w:sz="4" w:space="0" w:color="000000"/>
              <w:right w:val="single" w:sz="4" w:space="0" w:color="000000"/>
            </w:tcBorders>
            <w:vAlign w:val="center"/>
          </w:tcPr>
          <w:p w14:paraId="15CDBC1D"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2</w:t>
            </w:r>
          </w:p>
        </w:tc>
      </w:tr>
      <w:tr w:rsidR="00752F6F" w14:paraId="04A5F54A" w14:textId="77777777">
        <w:trPr>
          <w:trHeight w:val="2684"/>
          <w:jc w:val="center"/>
        </w:trPr>
        <w:tc>
          <w:tcPr>
            <w:tcW w:w="733" w:type="dxa"/>
            <w:vMerge/>
            <w:tcBorders>
              <w:left w:val="single" w:sz="4" w:space="0" w:color="000000"/>
              <w:right w:val="single" w:sz="4" w:space="0" w:color="000000"/>
            </w:tcBorders>
            <w:vAlign w:val="center"/>
          </w:tcPr>
          <w:p w14:paraId="3CF3ECEE" w14:textId="77777777" w:rsidR="00752F6F" w:rsidRDefault="00752F6F">
            <w:pPr>
              <w:widowControl/>
              <w:jc w:val="left"/>
              <w:rPr>
                <w:rFonts w:ascii="仿宋" w:eastAsia="仿宋" w:hAnsi="仿宋" w:cs="宋体" w:hint="eastAsia"/>
                <w:kern w:val="0"/>
                <w:sz w:val="24"/>
                <w:szCs w:val="24"/>
              </w:rPr>
            </w:pPr>
          </w:p>
        </w:tc>
        <w:tc>
          <w:tcPr>
            <w:tcW w:w="803" w:type="dxa"/>
            <w:tcBorders>
              <w:top w:val="single" w:sz="4" w:space="0" w:color="auto"/>
              <w:left w:val="single" w:sz="4" w:space="0" w:color="000000"/>
              <w:bottom w:val="single" w:sz="4" w:space="0" w:color="auto"/>
              <w:right w:val="single" w:sz="4" w:space="0" w:color="000000"/>
            </w:tcBorders>
            <w:vAlign w:val="center"/>
          </w:tcPr>
          <w:p w14:paraId="74D529E5"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结果应用创新（1分）</w:t>
            </w:r>
          </w:p>
        </w:tc>
        <w:tc>
          <w:tcPr>
            <w:tcW w:w="1182" w:type="dxa"/>
            <w:tcBorders>
              <w:top w:val="single" w:sz="4" w:space="0" w:color="000000"/>
              <w:left w:val="single" w:sz="4" w:space="0" w:color="000000"/>
              <w:bottom w:val="single" w:sz="4" w:space="0" w:color="000000"/>
              <w:right w:val="single" w:sz="4" w:space="0" w:color="auto"/>
            </w:tcBorders>
            <w:vAlign w:val="center"/>
          </w:tcPr>
          <w:p w14:paraId="30B52250"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结果应用创新（1分）</w:t>
            </w:r>
          </w:p>
        </w:tc>
        <w:tc>
          <w:tcPr>
            <w:tcW w:w="6554" w:type="dxa"/>
            <w:tcBorders>
              <w:top w:val="single" w:sz="4" w:space="0" w:color="000000"/>
              <w:left w:val="single" w:sz="4" w:space="0" w:color="auto"/>
              <w:bottom w:val="single" w:sz="4" w:space="0" w:color="000000"/>
              <w:right w:val="single" w:sz="4" w:space="0" w:color="auto"/>
            </w:tcBorders>
            <w:vAlign w:val="center"/>
          </w:tcPr>
          <w:p w14:paraId="2FF23519"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部门将绩效结果主动对外公开、预算绩效管理工作开展情况向同级政府、人大等部门报告，用以反映和考核部门在结果应用方面的创新情况。</w:t>
            </w:r>
          </w:p>
          <w:p w14:paraId="79EBD858"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评价要点：</w:t>
            </w:r>
          </w:p>
          <w:p w14:paraId="67D7A71F"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1.部门是否按要求对社会公开绩效评价结果。</w:t>
            </w:r>
          </w:p>
          <w:p w14:paraId="5733338A"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2.部门是否将预算绩效管理工作开展情况向同级政府、人大等部门报告。</w:t>
            </w:r>
          </w:p>
        </w:tc>
        <w:tc>
          <w:tcPr>
            <w:tcW w:w="3780" w:type="dxa"/>
            <w:tcBorders>
              <w:top w:val="single" w:sz="4" w:space="0" w:color="000000"/>
              <w:left w:val="single" w:sz="4" w:space="0" w:color="auto"/>
              <w:bottom w:val="single" w:sz="4" w:space="0" w:color="000000"/>
              <w:right w:val="single" w:sz="4" w:space="0" w:color="auto"/>
            </w:tcBorders>
            <w:vAlign w:val="center"/>
          </w:tcPr>
          <w:p w14:paraId="624D28D2"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kern w:val="0"/>
                <w:sz w:val="24"/>
                <w:szCs w:val="24"/>
              </w:rPr>
              <w:t>全部符合（</w:t>
            </w:r>
            <w:r>
              <w:rPr>
                <w:rFonts w:ascii="仿宋" w:eastAsia="仿宋" w:hAnsi="仿宋" w:cs="Arial" w:hint="eastAsia"/>
                <w:kern w:val="0"/>
                <w:sz w:val="24"/>
                <w:szCs w:val="24"/>
              </w:rPr>
              <w:t>1分</w:t>
            </w:r>
            <w:r>
              <w:rPr>
                <w:rFonts w:ascii="仿宋" w:eastAsia="仿宋" w:hAnsi="仿宋" w:cs="Arial"/>
                <w:kern w:val="0"/>
                <w:sz w:val="24"/>
                <w:szCs w:val="24"/>
              </w:rPr>
              <w:t>）；</w:t>
            </w:r>
          </w:p>
          <w:p w14:paraId="4523EB83"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符合其中两项（</w:t>
            </w:r>
            <w:r>
              <w:rPr>
                <w:rFonts w:ascii="仿宋" w:eastAsia="仿宋" w:hAnsi="仿宋" w:cs="Arial" w:hint="eastAsia"/>
                <w:kern w:val="0"/>
                <w:sz w:val="24"/>
                <w:szCs w:val="24"/>
              </w:rPr>
              <w:t>0.5分</w:t>
            </w:r>
            <w:r>
              <w:rPr>
                <w:rFonts w:ascii="仿宋" w:eastAsia="仿宋" w:hAnsi="仿宋" w:cs="Arial"/>
                <w:kern w:val="0"/>
                <w:sz w:val="24"/>
                <w:szCs w:val="24"/>
              </w:rPr>
              <w:t>）</w:t>
            </w:r>
          </w:p>
          <w:p w14:paraId="0E0ED7A9" w14:textId="77777777" w:rsidR="00752F6F" w:rsidRDefault="00000000">
            <w:pPr>
              <w:widowControl/>
              <w:spacing w:line="240" w:lineRule="exact"/>
              <w:jc w:val="left"/>
              <w:rPr>
                <w:rFonts w:ascii="仿宋" w:eastAsia="仿宋" w:hAnsi="仿宋" w:cs="Arial" w:hint="eastAsia"/>
                <w:kern w:val="0"/>
                <w:sz w:val="24"/>
                <w:szCs w:val="24"/>
              </w:rPr>
            </w:pPr>
            <w:r>
              <w:rPr>
                <w:rFonts w:ascii="仿宋" w:eastAsia="仿宋" w:hAnsi="仿宋" w:cs="Arial"/>
                <w:kern w:val="0"/>
                <w:sz w:val="24"/>
                <w:szCs w:val="24"/>
              </w:rPr>
              <w:t>符合其中一项及以下（</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6A74246A"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0</w:t>
            </w:r>
          </w:p>
        </w:tc>
      </w:tr>
      <w:tr w:rsidR="00752F6F" w14:paraId="56F27FA2" w14:textId="77777777">
        <w:trPr>
          <w:trHeight w:val="1834"/>
          <w:jc w:val="center"/>
        </w:trPr>
        <w:tc>
          <w:tcPr>
            <w:tcW w:w="733" w:type="dxa"/>
            <w:vMerge/>
            <w:tcBorders>
              <w:left w:val="single" w:sz="4" w:space="0" w:color="000000"/>
              <w:right w:val="single" w:sz="4" w:space="0" w:color="000000"/>
            </w:tcBorders>
            <w:vAlign w:val="center"/>
          </w:tcPr>
          <w:p w14:paraId="6DBFD83E" w14:textId="77777777" w:rsidR="00752F6F" w:rsidRDefault="00752F6F">
            <w:pPr>
              <w:widowControl/>
              <w:jc w:val="left"/>
              <w:rPr>
                <w:rFonts w:ascii="仿宋" w:eastAsia="仿宋" w:hAnsi="仿宋" w:cs="宋体" w:hint="eastAsia"/>
                <w:kern w:val="0"/>
                <w:sz w:val="24"/>
                <w:szCs w:val="24"/>
              </w:rPr>
            </w:pPr>
          </w:p>
        </w:tc>
        <w:tc>
          <w:tcPr>
            <w:tcW w:w="803" w:type="dxa"/>
            <w:tcBorders>
              <w:top w:val="single" w:sz="4" w:space="0" w:color="auto"/>
              <w:left w:val="single" w:sz="4" w:space="0" w:color="000000"/>
              <w:bottom w:val="single" w:sz="4" w:space="0" w:color="auto"/>
              <w:right w:val="single" w:sz="4" w:space="0" w:color="000000"/>
            </w:tcBorders>
            <w:vAlign w:val="center"/>
          </w:tcPr>
          <w:p w14:paraId="73D7C3D9"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社会效益（</w:t>
            </w:r>
            <w:r>
              <w:rPr>
                <w:rFonts w:ascii="仿宋" w:eastAsia="仿宋" w:hAnsi="仿宋" w:cs="Arial" w:hint="eastAsia"/>
                <w:kern w:val="0"/>
                <w:sz w:val="24"/>
                <w:szCs w:val="24"/>
              </w:rPr>
              <w:t>5分</w:t>
            </w:r>
            <w:r>
              <w:rPr>
                <w:rFonts w:ascii="仿宋" w:eastAsia="仿宋" w:hAnsi="仿宋" w:cs="Arial"/>
                <w:kern w:val="0"/>
                <w:sz w:val="24"/>
                <w:szCs w:val="24"/>
              </w:rPr>
              <w:t>）</w:t>
            </w:r>
          </w:p>
        </w:tc>
        <w:tc>
          <w:tcPr>
            <w:tcW w:w="1182" w:type="dxa"/>
            <w:tcBorders>
              <w:top w:val="single" w:sz="4" w:space="0" w:color="000000"/>
              <w:left w:val="single" w:sz="4" w:space="0" w:color="000000"/>
              <w:bottom w:val="single" w:sz="4" w:space="0" w:color="000000"/>
              <w:right w:val="single" w:sz="4" w:space="0" w:color="auto"/>
            </w:tcBorders>
            <w:vAlign w:val="center"/>
          </w:tcPr>
          <w:p w14:paraId="37814974"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社会公众满意度（</w:t>
            </w:r>
            <w:r>
              <w:rPr>
                <w:rFonts w:ascii="仿宋" w:eastAsia="仿宋" w:hAnsi="仿宋" w:cs="Arial" w:hint="eastAsia"/>
                <w:kern w:val="0"/>
                <w:sz w:val="24"/>
                <w:szCs w:val="24"/>
              </w:rPr>
              <w:t>5分</w:t>
            </w:r>
            <w:r>
              <w:rPr>
                <w:rFonts w:ascii="仿宋" w:eastAsia="仿宋" w:hAnsi="仿宋" w:cs="Arial"/>
                <w:kern w:val="0"/>
                <w:sz w:val="24"/>
                <w:szCs w:val="24"/>
              </w:rPr>
              <w:t>）</w:t>
            </w:r>
          </w:p>
        </w:tc>
        <w:tc>
          <w:tcPr>
            <w:tcW w:w="6554" w:type="dxa"/>
            <w:tcBorders>
              <w:top w:val="single" w:sz="4" w:space="0" w:color="000000"/>
              <w:left w:val="single" w:sz="4" w:space="0" w:color="auto"/>
              <w:bottom w:val="single" w:sz="4" w:space="0" w:color="000000"/>
              <w:right w:val="single" w:sz="4" w:space="0" w:color="auto"/>
            </w:tcBorders>
            <w:vAlign w:val="center"/>
          </w:tcPr>
          <w:p w14:paraId="75EBB716"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通过问卷调查了解社会公众对部门履职效果、解决民众关心的热点问题、厉行节约等方面的满意程度，反映和评价部门支出所带来的社会效益。</w:t>
            </w:r>
          </w:p>
        </w:tc>
        <w:tc>
          <w:tcPr>
            <w:tcW w:w="3780" w:type="dxa"/>
            <w:tcBorders>
              <w:top w:val="single" w:sz="4" w:space="0" w:color="000000"/>
              <w:left w:val="single" w:sz="4" w:space="0" w:color="auto"/>
              <w:bottom w:val="single" w:sz="4" w:space="0" w:color="000000"/>
              <w:right w:val="single" w:sz="4" w:space="0" w:color="auto"/>
            </w:tcBorders>
            <w:vAlign w:val="center"/>
          </w:tcPr>
          <w:p w14:paraId="6EDBBFED" w14:textId="77777777" w:rsidR="00752F6F" w:rsidRDefault="00000000">
            <w:pPr>
              <w:widowControl/>
              <w:spacing w:line="240" w:lineRule="exact"/>
              <w:jc w:val="left"/>
              <w:rPr>
                <w:rFonts w:ascii="仿宋" w:eastAsia="仿宋" w:hAnsi="仿宋" w:cs="宋体" w:hint="eastAsia"/>
                <w:kern w:val="0"/>
                <w:sz w:val="24"/>
                <w:szCs w:val="24"/>
              </w:rPr>
            </w:pPr>
            <w:r>
              <w:rPr>
                <w:rFonts w:ascii="仿宋" w:eastAsia="仿宋" w:hAnsi="仿宋" w:cs="Arial"/>
                <w:kern w:val="0"/>
                <w:sz w:val="24"/>
                <w:szCs w:val="24"/>
              </w:rPr>
              <w:t>按照满意度调查的优秀、良好、合格、不合格给予该项指标打分：</w:t>
            </w:r>
          </w:p>
          <w:p w14:paraId="7F5EC787" w14:textId="77777777" w:rsidR="00752F6F" w:rsidRDefault="00000000">
            <w:pPr>
              <w:widowControl/>
              <w:spacing w:line="68" w:lineRule="atLeast"/>
              <w:jc w:val="left"/>
              <w:rPr>
                <w:rFonts w:ascii="仿宋" w:eastAsia="仿宋" w:hAnsi="仿宋" w:cs="宋体" w:hint="eastAsia"/>
                <w:kern w:val="0"/>
                <w:sz w:val="24"/>
                <w:szCs w:val="24"/>
              </w:rPr>
            </w:pPr>
            <w:r>
              <w:rPr>
                <w:rFonts w:ascii="仿宋" w:eastAsia="仿宋" w:hAnsi="仿宋" w:cs="Arial"/>
                <w:kern w:val="0"/>
                <w:sz w:val="24"/>
                <w:szCs w:val="24"/>
              </w:rPr>
              <w:t>优秀（</w:t>
            </w:r>
            <w:r>
              <w:rPr>
                <w:rFonts w:ascii="仿宋" w:eastAsia="仿宋" w:hAnsi="仿宋" w:cs="Arial" w:hint="eastAsia"/>
                <w:kern w:val="0"/>
                <w:sz w:val="24"/>
                <w:szCs w:val="24"/>
              </w:rPr>
              <w:t>5分</w:t>
            </w:r>
            <w:r>
              <w:rPr>
                <w:rFonts w:ascii="仿宋" w:eastAsia="仿宋" w:hAnsi="仿宋" w:cs="Arial"/>
                <w:kern w:val="0"/>
                <w:sz w:val="24"/>
                <w:szCs w:val="24"/>
              </w:rPr>
              <w:t>）；良好（</w:t>
            </w:r>
            <w:r>
              <w:rPr>
                <w:rFonts w:ascii="仿宋" w:eastAsia="仿宋" w:hAnsi="仿宋" w:cs="Arial" w:hint="eastAsia"/>
                <w:kern w:val="0"/>
                <w:sz w:val="24"/>
                <w:szCs w:val="24"/>
              </w:rPr>
              <w:t>3分</w:t>
            </w:r>
            <w:r>
              <w:rPr>
                <w:rFonts w:ascii="仿宋" w:eastAsia="仿宋" w:hAnsi="仿宋" w:cs="Arial"/>
                <w:kern w:val="0"/>
                <w:sz w:val="24"/>
                <w:szCs w:val="24"/>
              </w:rPr>
              <w:t>）；合格（</w:t>
            </w:r>
            <w:r>
              <w:rPr>
                <w:rFonts w:ascii="仿宋" w:eastAsia="仿宋" w:hAnsi="仿宋" w:cs="Arial" w:hint="eastAsia"/>
                <w:kern w:val="0"/>
                <w:sz w:val="24"/>
                <w:szCs w:val="24"/>
              </w:rPr>
              <w:t>1分</w:t>
            </w:r>
            <w:r>
              <w:rPr>
                <w:rFonts w:ascii="仿宋" w:eastAsia="仿宋" w:hAnsi="仿宋" w:cs="Arial"/>
                <w:kern w:val="0"/>
                <w:sz w:val="24"/>
                <w:szCs w:val="24"/>
              </w:rPr>
              <w:t>）；不合格（</w:t>
            </w:r>
            <w:r>
              <w:rPr>
                <w:rFonts w:ascii="仿宋" w:eastAsia="仿宋" w:hAnsi="仿宋" w:cs="Arial" w:hint="eastAsia"/>
                <w:kern w:val="0"/>
                <w:sz w:val="24"/>
                <w:szCs w:val="24"/>
              </w:rPr>
              <w:t>0分</w:t>
            </w:r>
            <w:r>
              <w:rPr>
                <w:rFonts w:ascii="仿宋" w:eastAsia="仿宋" w:hAnsi="仿宋" w:cs="Arial"/>
                <w:kern w:val="0"/>
                <w:sz w:val="24"/>
                <w:szCs w:val="24"/>
              </w:rPr>
              <w:t>）。</w:t>
            </w:r>
          </w:p>
        </w:tc>
        <w:tc>
          <w:tcPr>
            <w:tcW w:w="1090" w:type="dxa"/>
            <w:tcBorders>
              <w:top w:val="single" w:sz="4" w:space="0" w:color="000000"/>
              <w:left w:val="single" w:sz="4" w:space="0" w:color="auto"/>
              <w:bottom w:val="single" w:sz="4" w:space="0" w:color="000000"/>
              <w:right w:val="single" w:sz="4" w:space="0" w:color="000000"/>
            </w:tcBorders>
            <w:vAlign w:val="center"/>
          </w:tcPr>
          <w:p w14:paraId="72197D8D"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5</w:t>
            </w:r>
          </w:p>
        </w:tc>
      </w:tr>
      <w:tr w:rsidR="00752F6F" w14:paraId="4250A693" w14:textId="77777777">
        <w:trPr>
          <w:trHeight w:val="840"/>
          <w:jc w:val="center"/>
        </w:trPr>
        <w:tc>
          <w:tcPr>
            <w:tcW w:w="733" w:type="dxa"/>
            <w:tcBorders>
              <w:left w:val="single" w:sz="4" w:space="0" w:color="000000"/>
              <w:right w:val="single" w:sz="4" w:space="0" w:color="000000"/>
            </w:tcBorders>
            <w:vAlign w:val="center"/>
          </w:tcPr>
          <w:p w14:paraId="30175BF8" w14:textId="77777777" w:rsidR="00752F6F" w:rsidRDefault="00000000">
            <w:pPr>
              <w:widowControl/>
              <w:jc w:val="left"/>
              <w:rPr>
                <w:rFonts w:ascii="仿宋" w:eastAsia="仿宋" w:hAnsi="仿宋" w:cs="宋体" w:hint="eastAsia"/>
                <w:kern w:val="0"/>
                <w:sz w:val="24"/>
                <w:szCs w:val="24"/>
              </w:rPr>
            </w:pPr>
            <w:r>
              <w:rPr>
                <w:rFonts w:ascii="仿宋" w:eastAsia="仿宋" w:hAnsi="仿宋" w:cs="宋体" w:hint="eastAsia"/>
                <w:kern w:val="0"/>
                <w:sz w:val="24"/>
                <w:szCs w:val="24"/>
              </w:rPr>
              <w:t>小计</w:t>
            </w:r>
          </w:p>
        </w:tc>
        <w:tc>
          <w:tcPr>
            <w:tcW w:w="803" w:type="dxa"/>
            <w:tcBorders>
              <w:top w:val="single" w:sz="4" w:space="0" w:color="auto"/>
              <w:left w:val="single" w:sz="4" w:space="0" w:color="000000"/>
              <w:bottom w:val="single" w:sz="4" w:space="0" w:color="auto"/>
              <w:right w:val="single" w:sz="4" w:space="0" w:color="000000"/>
            </w:tcBorders>
            <w:vAlign w:val="center"/>
          </w:tcPr>
          <w:p w14:paraId="0B300513"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100</w:t>
            </w:r>
          </w:p>
        </w:tc>
        <w:tc>
          <w:tcPr>
            <w:tcW w:w="1182" w:type="dxa"/>
            <w:tcBorders>
              <w:top w:val="single" w:sz="4" w:space="0" w:color="000000"/>
              <w:left w:val="single" w:sz="4" w:space="0" w:color="000000"/>
              <w:bottom w:val="single" w:sz="4" w:space="0" w:color="000000"/>
              <w:right w:val="single" w:sz="4" w:space="0" w:color="auto"/>
            </w:tcBorders>
            <w:vAlign w:val="center"/>
          </w:tcPr>
          <w:p w14:paraId="4C3F646C" w14:textId="77777777" w:rsidR="00752F6F" w:rsidRDefault="00752F6F">
            <w:pPr>
              <w:widowControl/>
              <w:spacing w:line="68" w:lineRule="atLeast"/>
              <w:jc w:val="left"/>
              <w:rPr>
                <w:rFonts w:ascii="仿宋" w:eastAsia="仿宋" w:hAnsi="仿宋" w:cs="Arial" w:hint="eastAsia"/>
                <w:kern w:val="0"/>
                <w:sz w:val="24"/>
                <w:szCs w:val="24"/>
              </w:rPr>
            </w:pPr>
          </w:p>
        </w:tc>
        <w:tc>
          <w:tcPr>
            <w:tcW w:w="6554" w:type="dxa"/>
            <w:tcBorders>
              <w:top w:val="single" w:sz="4" w:space="0" w:color="000000"/>
              <w:left w:val="single" w:sz="4" w:space="0" w:color="auto"/>
              <w:bottom w:val="single" w:sz="4" w:space="0" w:color="000000"/>
              <w:right w:val="single" w:sz="4" w:space="0" w:color="auto"/>
            </w:tcBorders>
            <w:vAlign w:val="center"/>
          </w:tcPr>
          <w:p w14:paraId="36FC57C1" w14:textId="77777777" w:rsidR="00752F6F" w:rsidRDefault="00752F6F">
            <w:pPr>
              <w:widowControl/>
              <w:spacing w:line="68" w:lineRule="atLeast"/>
              <w:jc w:val="left"/>
              <w:rPr>
                <w:rFonts w:ascii="仿宋" w:eastAsia="仿宋" w:hAnsi="仿宋" w:cs="Arial" w:hint="eastAsia"/>
                <w:kern w:val="0"/>
                <w:sz w:val="24"/>
                <w:szCs w:val="24"/>
              </w:rPr>
            </w:pPr>
          </w:p>
        </w:tc>
        <w:tc>
          <w:tcPr>
            <w:tcW w:w="3780" w:type="dxa"/>
            <w:tcBorders>
              <w:top w:val="single" w:sz="4" w:space="0" w:color="000000"/>
              <w:left w:val="single" w:sz="4" w:space="0" w:color="auto"/>
              <w:bottom w:val="single" w:sz="4" w:space="0" w:color="000000"/>
              <w:right w:val="single" w:sz="4" w:space="0" w:color="auto"/>
            </w:tcBorders>
            <w:vAlign w:val="center"/>
          </w:tcPr>
          <w:p w14:paraId="09BF5CC3" w14:textId="77777777" w:rsidR="00752F6F" w:rsidRDefault="00752F6F">
            <w:pPr>
              <w:widowControl/>
              <w:spacing w:line="68" w:lineRule="atLeast"/>
              <w:jc w:val="left"/>
              <w:rPr>
                <w:rFonts w:ascii="仿宋" w:eastAsia="仿宋" w:hAnsi="仿宋" w:cs="Arial" w:hint="eastAsia"/>
                <w:kern w:val="0"/>
                <w:sz w:val="24"/>
                <w:szCs w:val="24"/>
              </w:rPr>
            </w:pPr>
          </w:p>
        </w:tc>
        <w:tc>
          <w:tcPr>
            <w:tcW w:w="1090" w:type="dxa"/>
            <w:tcBorders>
              <w:top w:val="single" w:sz="4" w:space="0" w:color="000000"/>
              <w:left w:val="single" w:sz="4" w:space="0" w:color="auto"/>
              <w:bottom w:val="single" w:sz="4" w:space="0" w:color="000000"/>
              <w:right w:val="single" w:sz="4" w:space="0" w:color="000000"/>
            </w:tcBorders>
            <w:vAlign w:val="center"/>
          </w:tcPr>
          <w:p w14:paraId="0D56498F"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84</w:t>
            </w:r>
          </w:p>
        </w:tc>
      </w:tr>
      <w:tr w:rsidR="00752F6F" w14:paraId="5DCF468C" w14:textId="77777777">
        <w:trPr>
          <w:trHeight w:val="828"/>
          <w:jc w:val="center"/>
        </w:trPr>
        <w:tc>
          <w:tcPr>
            <w:tcW w:w="733" w:type="dxa"/>
            <w:tcBorders>
              <w:left w:val="single" w:sz="4" w:space="0" w:color="000000"/>
              <w:bottom w:val="single" w:sz="4" w:space="0" w:color="000000"/>
              <w:right w:val="single" w:sz="4" w:space="0" w:color="000000"/>
            </w:tcBorders>
            <w:vAlign w:val="center"/>
          </w:tcPr>
          <w:p w14:paraId="2B133503" w14:textId="77777777" w:rsidR="00752F6F" w:rsidRDefault="00000000">
            <w:pPr>
              <w:widowControl/>
              <w:jc w:val="left"/>
              <w:rPr>
                <w:rFonts w:ascii="仿宋" w:eastAsia="仿宋" w:hAnsi="仿宋" w:cs="宋体" w:hint="eastAsia"/>
                <w:kern w:val="0"/>
                <w:sz w:val="24"/>
                <w:szCs w:val="24"/>
              </w:rPr>
            </w:pPr>
            <w:r>
              <w:rPr>
                <w:rFonts w:ascii="仿宋" w:eastAsia="仿宋" w:hAnsi="仿宋" w:cs="宋体" w:hint="eastAsia"/>
                <w:kern w:val="0"/>
                <w:sz w:val="24"/>
                <w:szCs w:val="24"/>
              </w:rPr>
              <w:t>评价结果</w:t>
            </w:r>
          </w:p>
        </w:tc>
        <w:tc>
          <w:tcPr>
            <w:tcW w:w="803" w:type="dxa"/>
            <w:tcBorders>
              <w:top w:val="single" w:sz="4" w:space="0" w:color="auto"/>
              <w:left w:val="single" w:sz="4" w:space="0" w:color="000000"/>
              <w:bottom w:val="single" w:sz="4" w:space="0" w:color="auto"/>
              <w:right w:val="single" w:sz="4" w:space="0" w:color="000000"/>
            </w:tcBorders>
            <w:vAlign w:val="center"/>
          </w:tcPr>
          <w:p w14:paraId="1AE5853D" w14:textId="77777777" w:rsidR="00752F6F" w:rsidRDefault="00752F6F">
            <w:pPr>
              <w:widowControl/>
              <w:spacing w:line="68" w:lineRule="atLeast"/>
              <w:jc w:val="left"/>
              <w:rPr>
                <w:rFonts w:ascii="仿宋" w:eastAsia="仿宋" w:hAnsi="仿宋" w:cs="Arial" w:hint="eastAsia"/>
                <w:kern w:val="0"/>
                <w:sz w:val="24"/>
                <w:szCs w:val="24"/>
              </w:rPr>
            </w:pPr>
          </w:p>
        </w:tc>
        <w:tc>
          <w:tcPr>
            <w:tcW w:w="1182" w:type="dxa"/>
            <w:tcBorders>
              <w:top w:val="single" w:sz="4" w:space="0" w:color="000000"/>
              <w:left w:val="single" w:sz="4" w:space="0" w:color="000000"/>
              <w:bottom w:val="single" w:sz="4" w:space="0" w:color="000000"/>
              <w:right w:val="single" w:sz="4" w:space="0" w:color="auto"/>
            </w:tcBorders>
            <w:vAlign w:val="center"/>
          </w:tcPr>
          <w:p w14:paraId="72354422" w14:textId="77777777" w:rsidR="00752F6F" w:rsidRDefault="00752F6F">
            <w:pPr>
              <w:widowControl/>
              <w:spacing w:line="68" w:lineRule="atLeast"/>
              <w:jc w:val="left"/>
              <w:rPr>
                <w:rFonts w:ascii="仿宋" w:eastAsia="仿宋" w:hAnsi="仿宋" w:cs="Arial" w:hint="eastAsia"/>
                <w:kern w:val="0"/>
                <w:sz w:val="24"/>
                <w:szCs w:val="24"/>
              </w:rPr>
            </w:pPr>
          </w:p>
        </w:tc>
        <w:tc>
          <w:tcPr>
            <w:tcW w:w="10334" w:type="dxa"/>
            <w:gridSpan w:val="2"/>
            <w:tcBorders>
              <w:top w:val="single" w:sz="4" w:space="0" w:color="000000"/>
              <w:left w:val="single" w:sz="4" w:space="0" w:color="auto"/>
              <w:bottom w:val="single" w:sz="4" w:space="0" w:color="000000"/>
              <w:right w:val="single" w:sz="4" w:space="0" w:color="auto"/>
            </w:tcBorders>
            <w:vAlign w:val="center"/>
          </w:tcPr>
          <w:p w14:paraId="0083B76E"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hint="eastAsia"/>
                <w:kern w:val="0"/>
                <w:sz w:val="24"/>
                <w:szCs w:val="24"/>
              </w:rPr>
              <w:t>□优秀</w:t>
            </w:r>
            <w:r>
              <w:rPr>
                <w:rFonts w:ascii="仿宋" w:eastAsia="仿宋" w:hAnsi="仿宋" w:cs="Arial"/>
                <w:kern w:val="0"/>
                <w:sz w:val="24"/>
                <w:szCs w:val="24"/>
              </w:rPr>
              <w:t xml:space="preserve">  90分≤得分≤100分； □良好  80分≤得分≤89分；</w:t>
            </w:r>
          </w:p>
          <w:p w14:paraId="582099CD" w14:textId="77777777" w:rsidR="00752F6F" w:rsidRDefault="00000000">
            <w:pPr>
              <w:widowControl/>
              <w:spacing w:line="68" w:lineRule="atLeast"/>
              <w:jc w:val="left"/>
              <w:rPr>
                <w:rFonts w:ascii="仿宋" w:eastAsia="仿宋" w:hAnsi="仿宋" w:cs="Arial" w:hint="eastAsia"/>
                <w:kern w:val="0"/>
                <w:sz w:val="24"/>
                <w:szCs w:val="24"/>
              </w:rPr>
            </w:pPr>
            <w:r>
              <w:rPr>
                <w:rFonts w:ascii="仿宋" w:eastAsia="仿宋" w:hAnsi="仿宋" w:cs="Arial"/>
                <w:kern w:val="0"/>
                <w:sz w:val="24"/>
                <w:szCs w:val="24"/>
              </w:rPr>
              <w:t xml:space="preserve">  □中  60分≤得分≤79分；  □较差  0≤得分≤59分</w:t>
            </w:r>
          </w:p>
        </w:tc>
        <w:tc>
          <w:tcPr>
            <w:tcW w:w="1090" w:type="dxa"/>
            <w:tcBorders>
              <w:top w:val="single" w:sz="4" w:space="0" w:color="000000"/>
              <w:left w:val="single" w:sz="4" w:space="0" w:color="auto"/>
              <w:bottom w:val="single" w:sz="4" w:space="0" w:color="000000"/>
              <w:right w:val="single" w:sz="4" w:space="0" w:color="000000"/>
            </w:tcBorders>
            <w:vAlign w:val="center"/>
          </w:tcPr>
          <w:p w14:paraId="75B93911" w14:textId="77777777" w:rsidR="00752F6F" w:rsidRDefault="00000000">
            <w:pPr>
              <w:widowControl/>
              <w:spacing w:line="68" w:lineRule="atLeast"/>
              <w:jc w:val="center"/>
              <w:rPr>
                <w:rFonts w:ascii="宋体" w:eastAsia="宋体" w:hAnsi="宋体" w:cs="宋体" w:hint="eastAsia"/>
                <w:kern w:val="0"/>
                <w:sz w:val="20"/>
                <w:szCs w:val="24"/>
              </w:rPr>
            </w:pPr>
            <w:r>
              <w:rPr>
                <w:rFonts w:ascii="宋体" w:eastAsia="宋体" w:hAnsi="宋体" w:cs="宋体" w:hint="eastAsia"/>
                <w:kern w:val="0"/>
                <w:sz w:val="20"/>
                <w:szCs w:val="24"/>
              </w:rPr>
              <w:t>良好</w:t>
            </w:r>
          </w:p>
        </w:tc>
      </w:tr>
    </w:tbl>
    <w:p w14:paraId="73D24EFC" w14:textId="77777777" w:rsidR="00752F6F" w:rsidRDefault="00752F6F"/>
    <w:sectPr w:rsidR="00752F6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A25560B"/>
    <w:rsid w:val="00202B10"/>
    <w:rsid w:val="003402AD"/>
    <w:rsid w:val="00752F6F"/>
    <w:rsid w:val="00757637"/>
    <w:rsid w:val="00A65DEC"/>
    <w:rsid w:val="00A67ADF"/>
    <w:rsid w:val="5A25560B"/>
    <w:rsid w:val="5CE75F74"/>
    <w:rsid w:val="5D5447FC"/>
    <w:rsid w:val="6D3B1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68217"/>
  <w15:docId w15:val="{5A8BFC0A-79C5-4CDB-A315-6D5BE125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dc:creator>
  <cp:lastModifiedBy>宏禹 董</cp:lastModifiedBy>
  <cp:revision>4</cp:revision>
  <dcterms:created xsi:type="dcterms:W3CDTF">2020-10-21T06:46:00Z</dcterms:created>
  <dcterms:modified xsi:type="dcterms:W3CDTF">2024-12-18T11:07:00Z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